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051F" w14:textId="77777777" w:rsidR="00C84701" w:rsidRPr="00C84701" w:rsidRDefault="00C91359" w:rsidP="00C84701">
      <w:pPr>
        <w:pStyle w:val="NoSpacing"/>
        <w:outlineLvl w:val="0"/>
        <w:rPr>
          <w:rFonts w:ascii="Roboto" w:hAnsi="Roboto" w:cstheme="minorHAnsi"/>
          <w:sz w:val="24"/>
          <w:szCs w:val="24"/>
          <w:lang w:eastAsia="en-GB"/>
        </w:rPr>
      </w:pPr>
      <w:r w:rsidRPr="00C91359">
        <w:rPr>
          <w:b/>
        </w:rPr>
        <w:t>Project Title</w:t>
      </w:r>
      <w:r w:rsidR="00F44D9E">
        <w:rPr>
          <w:b/>
        </w:rPr>
        <w:t>:</w:t>
      </w:r>
      <w:r w:rsidR="00C84701">
        <w:rPr>
          <w:b/>
        </w:rPr>
        <w:t xml:space="preserve"> </w:t>
      </w:r>
      <w:r w:rsidR="00C84701" w:rsidRPr="00C84701">
        <w:t>Developing a frugal transcription factor relative affinity measurement pipeline (TRAMP)</w:t>
      </w:r>
    </w:p>
    <w:p w14:paraId="3DF15B6F" w14:textId="77777777" w:rsidR="00C84701" w:rsidRPr="00C84701" w:rsidRDefault="00C84701" w:rsidP="00C84701">
      <w:pPr>
        <w:pStyle w:val="NoSpacing"/>
        <w:outlineLvl w:val="0"/>
        <w:rPr>
          <w:rFonts w:ascii="Roboto" w:hAnsi="Roboto" w:cstheme="minorHAnsi"/>
          <w:sz w:val="24"/>
          <w:szCs w:val="24"/>
          <w:lang w:eastAsia="en-GB"/>
        </w:rPr>
      </w:pPr>
    </w:p>
    <w:p w14:paraId="6073465C" w14:textId="61972815" w:rsidR="00C91359" w:rsidRDefault="00C91359">
      <w:r w:rsidRPr="00C91359">
        <w:rPr>
          <w:b/>
        </w:rPr>
        <w:t>Report Title</w:t>
      </w:r>
      <w:r w:rsidR="00F44D9E">
        <w:rPr>
          <w:b/>
        </w:rPr>
        <w:t>:</w:t>
      </w:r>
      <w:r w:rsidR="00C84701">
        <w:rPr>
          <w:b/>
        </w:rPr>
        <w:t xml:space="preserve"> </w:t>
      </w:r>
      <w:r w:rsidR="00C84701" w:rsidRPr="00C84701">
        <w:t>Project TRAMP Six Month Progress Report</w:t>
      </w:r>
    </w:p>
    <w:p w14:paraId="415F0EF0" w14:textId="77777777" w:rsidR="00C91359" w:rsidRDefault="00C91359"/>
    <w:p w14:paraId="76CCED05" w14:textId="1071BDCB" w:rsidR="00C91359" w:rsidRDefault="00C91359" w:rsidP="00C91359">
      <w:pPr>
        <w:spacing w:after="0"/>
        <w:rPr>
          <w:b/>
        </w:rPr>
      </w:pPr>
      <w:r w:rsidRPr="00C91359">
        <w:rPr>
          <w:b/>
        </w:rPr>
        <w:t>Summary</w:t>
      </w:r>
    </w:p>
    <w:p w14:paraId="768AE163" w14:textId="77777777" w:rsidR="00171195" w:rsidRPr="00C91359" w:rsidRDefault="00171195" w:rsidP="00C91359">
      <w:pPr>
        <w:spacing w:after="0"/>
        <w:rPr>
          <w:b/>
        </w:rPr>
      </w:pPr>
    </w:p>
    <w:p w14:paraId="2504CEE2" w14:textId="3132934E" w:rsidR="005B2F5E" w:rsidRPr="002F2AEB" w:rsidRDefault="004B02B6" w:rsidP="001E0EA2">
      <w:pPr>
        <w:jc w:val="both"/>
      </w:pPr>
      <w:r>
        <w:t>T</w:t>
      </w:r>
      <w:r w:rsidRPr="002F2AEB">
        <w:t xml:space="preserve">he affinity of a transcription factor (TF) to its binding site (TFBS) </w:t>
      </w:r>
      <w:r w:rsidR="00086F8F">
        <w:t>can have a large effect on the strength of promoter activation, and thus</w:t>
      </w:r>
      <w:r w:rsidR="00086F8F" w:rsidDel="00086F8F">
        <w:t xml:space="preserve"> </w:t>
      </w:r>
      <w:r w:rsidR="00086F8F">
        <w:t xml:space="preserve">is very important to the regulation of a target </w:t>
      </w:r>
      <w:r>
        <w:t>gene</w:t>
      </w:r>
      <w:r w:rsidR="00086F8F">
        <w:t>.</w:t>
      </w:r>
      <w:r>
        <w:t xml:space="preserve"> </w:t>
      </w:r>
      <w:r w:rsidR="002F2AEB" w:rsidRPr="002F2AEB">
        <w:t xml:space="preserve">Techniques to assess the affinity of a TF to its TFBS, such as the protein binding microarray (PBM), are useful tools for identifying novel TFBS and comparing </w:t>
      </w:r>
      <w:r w:rsidR="00086F8F">
        <w:t>the</w:t>
      </w:r>
      <w:r w:rsidR="002F2AEB" w:rsidRPr="002F2AEB">
        <w:t xml:space="preserve"> binding affinit</w:t>
      </w:r>
      <w:r w:rsidR="00086F8F">
        <w:t>y of different TFs</w:t>
      </w:r>
      <w:r w:rsidR="005B2F5E">
        <w:t>.</w:t>
      </w:r>
      <w:r w:rsidR="002F2AEB" w:rsidRPr="002F2AEB">
        <w:t xml:space="preserve"> However, such techniques are still not widely affordable. Microplate-based protein-DNA binding assays have been developed as a cheaper alternative, with the only limiting factor being the cost of the necessary DNA modifications.</w:t>
      </w:r>
      <w:r w:rsidR="00EC3A4C">
        <w:t xml:space="preserve"> </w:t>
      </w:r>
      <w:r w:rsidR="002F2AEB" w:rsidRPr="002F2AEB">
        <w:t>In this project, we aim to establish a</w:t>
      </w:r>
      <w:r w:rsidR="00086F8F">
        <w:t>n affordable</w:t>
      </w:r>
      <w:r w:rsidR="002F2AEB" w:rsidRPr="002F2AEB">
        <w:t xml:space="preserve"> platform for comparing relative TF-TFBS binding affinities</w:t>
      </w:r>
      <w:r w:rsidR="00086F8F">
        <w:t xml:space="preserve">. We </w:t>
      </w:r>
      <w:r w:rsidR="00086F8F" w:rsidRPr="002F2AEB">
        <w:t>utilis</w:t>
      </w:r>
      <w:r w:rsidR="00086F8F">
        <w:t>e</w:t>
      </w:r>
      <w:r w:rsidR="00086F8F" w:rsidRPr="002F2AEB">
        <w:t xml:space="preserve"> </w:t>
      </w:r>
      <w:r w:rsidR="002F2AEB" w:rsidRPr="002F2AEB">
        <w:t>a non-modified DNA immobilising method</w:t>
      </w:r>
      <w:r w:rsidR="005B2F5E">
        <w:t>.</w:t>
      </w:r>
      <w:r w:rsidR="00833A48">
        <w:t xml:space="preserve"> </w:t>
      </w:r>
      <w:r w:rsidR="00086F8F">
        <w:t xml:space="preserve">Our </w:t>
      </w:r>
      <w:r w:rsidR="00833A48">
        <w:t xml:space="preserve">platform also includes </w:t>
      </w:r>
      <w:r w:rsidR="00086F8F">
        <w:t xml:space="preserve">a </w:t>
      </w:r>
      <w:r w:rsidR="00833A48">
        <w:t xml:space="preserve">bioinformatic pipeline to </w:t>
      </w:r>
      <w:r w:rsidR="00086F8F">
        <w:t xml:space="preserve">suggest </w:t>
      </w:r>
      <w:r w:rsidR="00833A48">
        <w:t>novel TFBSs</w:t>
      </w:r>
      <w:r w:rsidR="00086F8F">
        <w:t xml:space="preserve"> based on existing, population level, natural genetic variation</w:t>
      </w:r>
      <w:r w:rsidR="00833A48">
        <w:t xml:space="preserve">. So far, we have established </w:t>
      </w:r>
      <w:r w:rsidR="00E9641B">
        <w:t xml:space="preserve">and validated </w:t>
      </w:r>
      <w:r w:rsidR="00833A48">
        <w:t>the protocol for</w:t>
      </w:r>
      <w:r w:rsidR="00086F8F">
        <w:t xml:space="preserve"> the</w:t>
      </w:r>
      <w:r w:rsidR="00833A48">
        <w:t xml:space="preserve"> TRAMP assay</w:t>
      </w:r>
      <w:r w:rsidR="00E9641B">
        <w:t>. We have also resolved</w:t>
      </w:r>
      <w:r w:rsidR="00833A48">
        <w:t xml:space="preserve"> the bioinformatic pipeline</w:t>
      </w:r>
      <w:r w:rsidR="00E9641B">
        <w:t xml:space="preserve"> to the point of generating preliminary predictions of TFBS variants effecting predicted binding affinity</w:t>
      </w:r>
      <w:r w:rsidR="00885891">
        <w:t xml:space="preserve">. We are now using TRAMP to test the affinities of </w:t>
      </w:r>
      <w:r w:rsidR="00E9641B">
        <w:t xml:space="preserve">a range of our predicted </w:t>
      </w:r>
      <w:r w:rsidR="00885891">
        <w:t>TFBSs</w:t>
      </w:r>
      <w:r w:rsidR="00C424E5">
        <w:t xml:space="preserve"> to their corresponding TFs (from </w:t>
      </w:r>
      <w:r w:rsidR="00C424E5" w:rsidRPr="00C424E5">
        <w:rPr>
          <w:i/>
        </w:rPr>
        <w:t>Arabidopsis</w:t>
      </w:r>
      <w:r w:rsidR="00C424E5">
        <w:t xml:space="preserve"> and </w:t>
      </w:r>
      <w:proofErr w:type="spellStart"/>
      <w:r w:rsidR="00C424E5" w:rsidRPr="00C424E5">
        <w:rPr>
          <w:i/>
        </w:rPr>
        <w:t>Marchantia</w:t>
      </w:r>
      <w:proofErr w:type="spellEnd"/>
      <w:r w:rsidR="00C424E5">
        <w:t>)</w:t>
      </w:r>
      <w:r w:rsidR="00E9641B">
        <w:t>, as well as further developing the bioinformatic tool to consider motif breaking SNPs</w:t>
      </w:r>
      <w:r w:rsidR="00885891">
        <w:t xml:space="preserve">. The </w:t>
      </w:r>
      <w:r w:rsidR="00FC66E1">
        <w:t>effect of new TFBS variants on the promoter strength</w:t>
      </w:r>
      <w:r w:rsidR="00C424E5">
        <w:t xml:space="preserve"> will be assessed in the next stage</w:t>
      </w:r>
      <w:r w:rsidR="00E9641B">
        <w:t xml:space="preserve"> of our investigation</w:t>
      </w:r>
      <w:r w:rsidR="00C424E5">
        <w:t>.</w:t>
      </w:r>
    </w:p>
    <w:p w14:paraId="5A8033C6" w14:textId="77777777" w:rsidR="00E77467" w:rsidRDefault="00E77467" w:rsidP="00C91359"/>
    <w:p w14:paraId="034F06B4" w14:textId="5D79ED56" w:rsidR="00C91359" w:rsidRDefault="00C91359" w:rsidP="00C91359">
      <w:pPr>
        <w:spacing w:after="0"/>
        <w:rPr>
          <w:b/>
        </w:rPr>
      </w:pPr>
      <w:r w:rsidRPr="00C91359">
        <w:rPr>
          <w:b/>
        </w:rPr>
        <w:t>Report and outcomes</w:t>
      </w:r>
    </w:p>
    <w:p w14:paraId="2992E059" w14:textId="77777777" w:rsidR="00171195" w:rsidRPr="00C91359" w:rsidRDefault="00171195" w:rsidP="00C91359">
      <w:pPr>
        <w:spacing w:after="0"/>
        <w:rPr>
          <w:b/>
        </w:rPr>
      </w:pPr>
    </w:p>
    <w:p w14:paraId="3C0ADCCA" w14:textId="378148F6" w:rsidR="00C84701" w:rsidRDefault="00C84701" w:rsidP="002F2AEB">
      <w:pPr>
        <w:rPr>
          <w:b/>
        </w:rPr>
      </w:pPr>
      <w:r>
        <w:rPr>
          <w:b/>
        </w:rPr>
        <w:t xml:space="preserve">Outcome 1: </w:t>
      </w:r>
      <w:r w:rsidR="00670CF0">
        <w:rPr>
          <w:b/>
        </w:rPr>
        <w:t>TRAMP assay</w:t>
      </w:r>
      <w:r w:rsidR="0066592D">
        <w:rPr>
          <w:b/>
        </w:rPr>
        <w:t xml:space="preserve"> protocol</w:t>
      </w:r>
    </w:p>
    <w:p w14:paraId="08432E50" w14:textId="61B06C29" w:rsidR="00EC3A4C" w:rsidRDefault="00E9641B" w:rsidP="001E0EA2">
      <w:pPr>
        <w:jc w:val="both"/>
      </w:pPr>
      <w:r>
        <w:t>Establish</w:t>
      </w:r>
      <w:r w:rsidR="00EC3A4C">
        <w:t xml:space="preserve"> the protocol for the microplate-based protein-DNA binding affinity assay. Optimise </w:t>
      </w:r>
      <w:r>
        <w:t xml:space="preserve">the </w:t>
      </w:r>
      <w:r w:rsidR="00EC3A4C">
        <w:t xml:space="preserve">parameters </w:t>
      </w:r>
      <w:r>
        <w:t xml:space="preserve">of </w:t>
      </w:r>
      <w:r w:rsidR="00EC3A4C">
        <w:t xml:space="preserve">the protocol. </w:t>
      </w:r>
    </w:p>
    <w:p w14:paraId="5F996111" w14:textId="4E4B3FBF" w:rsidR="00EC3A4C" w:rsidRPr="00EC3A4C" w:rsidRDefault="00EC3A4C" w:rsidP="002F2AEB">
      <w:pPr>
        <w:rPr>
          <w:b/>
        </w:rPr>
      </w:pPr>
      <w:r w:rsidRPr="00EC3A4C">
        <w:rPr>
          <w:b/>
        </w:rPr>
        <w:t>Completed:</w:t>
      </w:r>
    </w:p>
    <w:p w14:paraId="5DDD8590" w14:textId="0FAD9B50" w:rsidR="009814FF" w:rsidRDefault="00106B06" w:rsidP="001E0EA2">
      <w:pPr>
        <w:jc w:val="both"/>
      </w:pPr>
      <w:r>
        <w:t>The k</w:t>
      </w:r>
      <w:r w:rsidR="00344374">
        <w:t xml:space="preserve">ey </w:t>
      </w:r>
      <w:r w:rsidR="009814FF">
        <w:t>components</w:t>
      </w:r>
      <w:r w:rsidR="009814FF" w:rsidRPr="00AC549C">
        <w:t xml:space="preserve"> </w:t>
      </w:r>
      <w:r w:rsidR="00AC549C">
        <w:t>of</w:t>
      </w:r>
      <w:r>
        <w:t xml:space="preserve"> the TRAMP assay</w:t>
      </w:r>
      <w:r w:rsidR="009814FF">
        <w:t xml:space="preserve"> have been tested. The components that were tested are: </w:t>
      </w:r>
    </w:p>
    <w:p w14:paraId="72A78BB8" w14:textId="1068C5B2" w:rsidR="009814FF" w:rsidRDefault="00AC549C" w:rsidP="009814FF">
      <w:pPr>
        <w:pStyle w:val="ListParagraph"/>
        <w:numPr>
          <w:ilvl w:val="0"/>
          <w:numId w:val="2"/>
        </w:numPr>
        <w:jc w:val="both"/>
      </w:pPr>
      <w:r>
        <w:t xml:space="preserve">immobilising </w:t>
      </w:r>
      <w:r w:rsidR="00F145AE">
        <w:t>ds</w:t>
      </w:r>
      <w:r>
        <w:t>DNA onto the surface of the microplate</w:t>
      </w:r>
      <w:r w:rsidR="00F145AE">
        <w:t xml:space="preserve"> well</w:t>
      </w:r>
    </w:p>
    <w:p w14:paraId="6B19A47C" w14:textId="38E46BC6" w:rsidR="009814FF" w:rsidRDefault="00AC549C" w:rsidP="009814FF">
      <w:pPr>
        <w:pStyle w:val="ListParagraph"/>
        <w:numPr>
          <w:ilvl w:val="0"/>
          <w:numId w:val="2"/>
        </w:numPr>
        <w:jc w:val="both"/>
      </w:pPr>
      <w:r>
        <w:t>i</w:t>
      </w:r>
      <w:r w:rsidR="009814FF">
        <w:t>dentifying</w:t>
      </w:r>
      <w:r>
        <w:t xml:space="preserve"> the</w:t>
      </w:r>
      <w:r w:rsidR="002F7B02">
        <w:t xml:space="preserve"> minimum</w:t>
      </w:r>
      <w:r>
        <w:t xml:space="preserve"> length of </w:t>
      </w:r>
      <w:r w:rsidR="00F145AE">
        <w:t>ds</w:t>
      </w:r>
      <w:r>
        <w:t xml:space="preserve">DNA </w:t>
      </w:r>
      <w:r w:rsidR="002F7B02">
        <w:t>that can be immobilised</w:t>
      </w:r>
      <w:r w:rsidR="00F145AE">
        <w:t xml:space="preserve"> in the well</w:t>
      </w:r>
    </w:p>
    <w:p w14:paraId="0212258E" w14:textId="01403F84" w:rsidR="009814FF" w:rsidRDefault="009814FF" w:rsidP="009814FF">
      <w:pPr>
        <w:pStyle w:val="ListParagraph"/>
        <w:numPr>
          <w:ilvl w:val="0"/>
          <w:numId w:val="2"/>
        </w:numPr>
        <w:jc w:val="both"/>
      </w:pPr>
      <w:r>
        <w:t xml:space="preserve">identifying the </w:t>
      </w:r>
      <w:r w:rsidR="002F7B02">
        <w:t xml:space="preserve">maximum </w:t>
      </w:r>
      <w:r w:rsidR="00AC549C">
        <w:t xml:space="preserve">amount of DNA </w:t>
      </w:r>
      <w:r w:rsidR="002F7B02">
        <w:t>to be immobilised</w:t>
      </w:r>
      <w:r w:rsidR="00F145AE">
        <w:t xml:space="preserve"> in the well</w:t>
      </w:r>
    </w:p>
    <w:p w14:paraId="24BA76A6" w14:textId="18D150DF" w:rsidR="009814FF" w:rsidRDefault="009814FF" w:rsidP="009814FF">
      <w:pPr>
        <w:pStyle w:val="ListParagraph"/>
        <w:numPr>
          <w:ilvl w:val="0"/>
          <w:numId w:val="2"/>
        </w:numPr>
        <w:jc w:val="both"/>
      </w:pPr>
      <w:r>
        <w:t xml:space="preserve">identifying the optimum </w:t>
      </w:r>
      <w:r w:rsidR="00AC549C">
        <w:t>fixing time</w:t>
      </w:r>
      <w:r>
        <w:t xml:space="preserve"> for the </w:t>
      </w:r>
      <w:r w:rsidR="00F145AE">
        <w:t>dsDNA when added to the well</w:t>
      </w:r>
    </w:p>
    <w:p w14:paraId="4D890230" w14:textId="07381489" w:rsidR="009814FF" w:rsidRDefault="00F145AE" w:rsidP="009814FF">
      <w:pPr>
        <w:pStyle w:val="ListParagraph"/>
        <w:numPr>
          <w:ilvl w:val="0"/>
          <w:numId w:val="2"/>
        </w:numPr>
        <w:jc w:val="both"/>
      </w:pPr>
      <w:r>
        <w:t xml:space="preserve">quantifying the effect of </w:t>
      </w:r>
      <w:r w:rsidR="00AC549C">
        <w:t>microplate material</w:t>
      </w:r>
      <w:r>
        <w:t xml:space="preserve"> on dsDNA immobilisation</w:t>
      </w:r>
      <w:r w:rsidR="00344374">
        <w:t xml:space="preserve"> </w:t>
      </w:r>
    </w:p>
    <w:p w14:paraId="6E535A61" w14:textId="3F41F1E6" w:rsidR="009814FF" w:rsidRDefault="00F145AE" w:rsidP="009814FF">
      <w:pPr>
        <w:pStyle w:val="ListParagraph"/>
        <w:numPr>
          <w:ilvl w:val="0"/>
          <w:numId w:val="2"/>
        </w:numPr>
        <w:jc w:val="both"/>
      </w:pPr>
      <w:r>
        <w:t>quantifying the effect of various</w:t>
      </w:r>
      <w:r w:rsidR="00AC549C">
        <w:t xml:space="preserve"> DNA immobilisation solutions</w:t>
      </w:r>
      <w:r>
        <w:t xml:space="preserve"> on dsDNA immobilisation</w:t>
      </w:r>
      <w:r w:rsidR="009814FF">
        <w:t xml:space="preserve"> </w:t>
      </w:r>
    </w:p>
    <w:p w14:paraId="37D968E4" w14:textId="7A253160" w:rsidR="00EC3A4C" w:rsidRDefault="00AC549C">
      <w:pPr>
        <w:jc w:val="both"/>
      </w:pPr>
      <w:r>
        <w:t>Based on these test results, a protocol for TRAMP has been</w:t>
      </w:r>
      <w:r w:rsidR="007D42BD">
        <w:t xml:space="preserve"> established. We used the Arabidopsis </w:t>
      </w:r>
      <w:proofErr w:type="spellStart"/>
      <w:r w:rsidR="007D42BD">
        <w:t>bZIP</w:t>
      </w:r>
      <w:proofErr w:type="spellEnd"/>
      <w:r w:rsidR="007D42BD">
        <w:t xml:space="preserve"> transcription factor TGA1 and its </w:t>
      </w:r>
      <w:r w:rsidR="00106B06">
        <w:t xml:space="preserve">well-studied </w:t>
      </w:r>
      <w:r w:rsidR="007D42BD">
        <w:t xml:space="preserve">binding sites to validate the TRAMP protocol. </w:t>
      </w:r>
      <w:r w:rsidR="00106B06">
        <w:t xml:space="preserve">Our </w:t>
      </w:r>
      <w:r w:rsidR="00A52D1B">
        <w:t xml:space="preserve">result clearly shows that TRAMP is able to distinguish the binding between TGA1 to its binding sites and a random sequence (Figure 1). </w:t>
      </w:r>
    </w:p>
    <w:p w14:paraId="0D3466E1" w14:textId="1E417E16" w:rsidR="00A52D1B" w:rsidRDefault="00B27AEB" w:rsidP="00A52D1B">
      <w:pPr>
        <w:ind w:left="1440" w:firstLine="720"/>
      </w:pPr>
      <w:r>
        <w:rPr>
          <w:noProof/>
        </w:rPr>
        <w:lastRenderedPageBreak/>
        <mc:AlternateContent>
          <mc:Choice Requires="wps">
            <w:drawing>
              <wp:anchor distT="0" distB="0" distL="114300" distR="114300" simplePos="0" relativeHeight="251666432" behindDoc="0" locked="0" layoutInCell="1" allowOverlap="1" wp14:anchorId="34EE3278" wp14:editId="208677AB">
                <wp:simplePos x="0" y="0"/>
                <wp:positionH relativeFrom="column">
                  <wp:posOffset>3836558</wp:posOffset>
                </wp:positionH>
                <wp:positionV relativeFrom="paragraph">
                  <wp:posOffset>1764030</wp:posOffset>
                </wp:positionV>
                <wp:extent cx="492369" cy="2411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92369" cy="241160"/>
                        </a:xfrm>
                        <a:prstGeom prst="rect">
                          <a:avLst/>
                        </a:prstGeom>
                        <a:noFill/>
                        <a:ln w="6350">
                          <a:noFill/>
                        </a:ln>
                      </wps:spPr>
                      <wps:txbx>
                        <w:txbxContent>
                          <w:p w14:paraId="5C4BA090" w14:textId="619ED32C" w:rsidR="00B27AEB" w:rsidRPr="006E6CC3" w:rsidRDefault="00B27AEB">
                            <w:pPr>
                              <w:rPr>
                                <w:color w:val="000000" w:themeColor="text1"/>
                              </w:rPr>
                            </w:pPr>
                            <w:r w:rsidRPr="006E6CC3">
                              <w:rPr>
                                <w:color w:val="000000" w:themeColor="text1"/>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EE3278" id="_x0000_t202" coordsize="21600,21600" o:spt="202" path="m,l,21600r21600,l21600,xe">
                <v:stroke joinstyle="miter"/>
                <v:path gradientshapeok="t" o:connecttype="rect"/>
              </v:shapetype>
              <v:shape id="Text Box 11" o:spid="_x0000_s1026" type="#_x0000_t202" style="position:absolute;left:0;text-align:left;margin-left:302.1pt;margin-top:138.9pt;width:38.75pt;height:1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" filled="f" stroked="f" strokeweight=".5pt">
                <v:textbox>
                  <w:txbxContent>
                    <w:p w14:paraId="5C4BA090" w14:textId="619ED32C" w:rsidR="00B27AEB" w:rsidRPr="006E6CC3" w:rsidRDefault="00B27AEB">
                      <w:pPr>
                        <w:rPr>
                          <w:color w:val="000000" w:themeColor="text1"/>
                        </w:rPr>
                      </w:pPr>
                      <w:r w:rsidRPr="006E6CC3">
                        <w:rPr>
                          <w:color w:val="000000" w:themeColor="text1"/>
                        </w:rPr>
                        <w:t>N.S.</w:t>
                      </w:r>
                    </w:p>
                  </w:txbxContent>
                </v:textbox>
              </v:shape>
            </w:pict>
          </mc:Fallback>
        </mc:AlternateContent>
      </w:r>
      <w:r w:rsidRPr="00B27AEB">
        <w:rPr>
          <w:noProof/>
        </w:rPr>
        <mc:AlternateContent>
          <mc:Choice Requires="wps">
            <w:drawing>
              <wp:anchor distT="0" distB="0" distL="114300" distR="114300" simplePos="0" relativeHeight="251665408" behindDoc="0" locked="0" layoutInCell="1" allowOverlap="1" wp14:anchorId="35A836B4" wp14:editId="7DA9A500">
                <wp:simplePos x="0" y="0"/>
                <wp:positionH relativeFrom="column">
                  <wp:posOffset>3781425</wp:posOffset>
                </wp:positionH>
                <wp:positionV relativeFrom="paragraph">
                  <wp:posOffset>2014855</wp:posOffset>
                </wp:positionV>
                <wp:extent cx="471805" cy="0"/>
                <wp:effectExtent l="0" t="0" r="10795" b="12700"/>
                <wp:wrapNone/>
                <wp:docPr id="9" name="Straight Connector 9"/>
                <wp:cNvGraphicFramePr/>
                <a:graphic xmlns:a="http://schemas.openxmlformats.org/drawingml/2006/main">
                  <a:graphicData uri="http://schemas.microsoft.com/office/word/2010/wordprocessingShape">
                    <wps:wsp>
                      <wps:cNvCnPr/>
                      <wps:spPr>
                        <a:xfrm>
                          <a:off x="0" y="0"/>
                          <a:ext cx="4718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6DF99"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75pt,158.65pt" to="334.9pt,15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" strokecolor="black [3213]" strokeweight="1pt">
                <v:stroke joinstyle="miter"/>
              </v:line>
            </w:pict>
          </mc:Fallback>
        </mc:AlternateContent>
      </w:r>
      <w:r w:rsidRPr="005C081B">
        <w:rPr>
          <w:noProof/>
        </w:rPr>
        <w:drawing>
          <wp:anchor distT="0" distB="0" distL="114300" distR="114300" simplePos="0" relativeHeight="251663360" behindDoc="0" locked="0" layoutInCell="1" allowOverlap="1" wp14:anchorId="4D800F7B" wp14:editId="6010923A">
            <wp:simplePos x="0" y="0"/>
            <wp:positionH relativeFrom="column">
              <wp:posOffset>2401047</wp:posOffset>
            </wp:positionH>
            <wp:positionV relativeFrom="paragraph">
              <wp:posOffset>296545</wp:posOffset>
            </wp:positionV>
            <wp:extent cx="83820" cy="83820"/>
            <wp:effectExtent l="0" t="0" r="5080" b="5080"/>
            <wp:wrapNone/>
            <wp:docPr id="7" name="Picture 7" descr="Image result for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asteris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81B">
        <w:rPr>
          <w:noProof/>
        </w:rPr>
        <mc:AlternateContent>
          <mc:Choice Requires="wps">
            <w:drawing>
              <wp:anchor distT="0" distB="0" distL="114300" distR="114300" simplePos="0" relativeHeight="251662336" behindDoc="0" locked="0" layoutInCell="1" allowOverlap="1" wp14:anchorId="4C5EE3CC" wp14:editId="056C7F2B">
                <wp:simplePos x="0" y="0"/>
                <wp:positionH relativeFrom="column">
                  <wp:posOffset>2210637</wp:posOffset>
                </wp:positionH>
                <wp:positionV relativeFrom="paragraph">
                  <wp:posOffset>468722</wp:posOffset>
                </wp:positionV>
                <wp:extent cx="472273" cy="0"/>
                <wp:effectExtent l="0" t="0" r="10795" b="12700"/>
                <wp:wrapNone/>
                <wp:docPr id="6" name="Straight Connector 6"/>
                <wp:cNvGraphicFramePr/>
                <a:graphic xmlns:a="http://schemas.openxmlformats.org/drawingml/2006/main">
                  <a:graphicData uri="http://schemas.microsoft.com/office/word/2010/wordprocessingShape">
                    <wps:wsp>
                      <wps:cNvCnPr/>
                      <wps:spPr>
                        <a:xfrm>
                          <a:off x="0" y="0"/>
                          <a:ext cx="47227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08197"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05pt,36.9pt" to="211.25pt,3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" strokecolor="black [3213]" strokeweight="1pt">
                <v:stroke joinstyle="miter"/>
              </v:line>
            </w:pict>
          </mc:Fallback>
        </mc:AlternateContent>
      </w:r>
      <w:r w:rsidR="005C081B" w:rsidRPr="005C081B">
        <w:rPr>
          <w:noProof/>
        </w:rPr>
        <w:t xml:space="preserve"> </w:t>
      </w:r>
      <w:r w:rsidR="005C081B">
        <w:rPr>
          <w:noProof/>
        </w:rPr>
        <w:drawing>
          <wp:inline distT="0" distB="0" distL="0" distR="0" wp14:anchorId="36B1DAB0" wp14:editId="6D115034">
            <wp:extent cx="4551903" cy="2818765"/>
            <wp:effectExtent l="0" t="0" r="1270" b="635"/>
            <wp:docPr id="5" name="Chart 5">
              <a:extLst xmlns:a="http://schemas.openxmlformats.org/drawingml/2006/main">
                <a:ext uri="{FF2B5EF4-FFF2-40B4-BE49-F238E27FC236}">
                  <a16:creationId xmlns:a16="http://schemas.microsoft.com/office/drawing/2014/main" id="{C8BB1321-254E-6F46-BAC2-AD7D7ED74E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5CFE561" w14:textId="4B264FA5" w:rsidR="00A52D1B" w:rsidRPr="00EC3A4C" w:rsidRDefault="00A52D1B" w:rsidP="005C081B">
      <w:pPr>
        <w:jc w:val="both"/>
      </w:pPr>
      <w:r w:rsidRPr="00E15AB9">
        <w:rPr>
          <w:b/>
        </w:rPr>
        <w:t>Figure 1</w:t>
      </w:r>
      <w:r>
        <w:t xml:space="preserve">. TGA1 binds to its binding site but not random sequences. Recombinant TGA1 and background proteins (Cell lysates of BL21 without TGA1) were used in TRAMP for TGA1 TFBS (Blue) and a random sequence (Green). The Luminescence of bound proteins were detected with </w:t>
      </w:r>
      <w:proofErr w:type="spellStart"/>
      <w:r>
        <w:t>nanoGlo</w:t>
      </w:r>
      <w:proofErr w:type="spellEnd"/>
      <w:r>
        <w:t xml:space="preserve"> kit (Promega). </w:t>
      </w:r>
      <w:r w:rsidR="00106B06">
        <w:t xml:space="preserve">Bar height represents the mean value of </w:t>
      </w:r>
      <w:r w:rsidR="00F145AE">
        <w:t>three</w:t>
      </w:r>
      <w:r w:rsidR="002F7B02">
        <w:t xml:space="preserve"> </w:t>
      </w:r>
      <w:r w:rsidR="00106B06">
        <w:t xml:space="preserve">replicates of the assay, error bars represent </w:t>
      </w:r>
      <w:r w:rsidR="00F145AE">
        <w:t>two</w:t>
      </w:r>
      <w:r w:rsidR="002F7B02">
        <w:t xml:space="preserve"> times </w:t>
      </w:r>
      <w:r w:rsidR="00106B06">
        <w:t xml:space="preserve">standard error around the mean. </w:t>
      </w:r>
      <w:r w:rsidR="005C081B">
        <w:t>Asterisk indicates P = 0.0002 (Student’s T-test).</w:t>
      </w:r>
      <w:r w:rsidR="005C081B" w:rsidRPr="001C0B62">
        <w:t xml:space="preserve"> </w:t>
      </w:r>
      <w:r w:rsidR="00B27AEB">
        <w:t>N.S. indicates P = 0.5859 (Student’s T-test).</w:t>
      </w:r>
      <w:r w:rsidR="005C081B">
        <w:t xml:space="preserve"> </w:t>
      </w:r>
    </w:p>
    <w:p w14:paraId="33C0D846" w14:textId="77777777" w:rsidR="00106B06" w:rsidRDefault="00106B06" w:rsidP="002F2AEB">
      <w:pPr>
        <w:rPr>
          <w:b/>
        </w:rPr>
      </w:pPr>
    </w:p>
    <w:p w14:paraId="784A1D37" w14:textId="785E0FCE" w:rsidR="002F2AEB" w:rsidRPr="002F2AEB" w:rsidRDefault="002F2AEB" w:rsidP="002F2AEB">
      <w:pPr>
        <w:rPr>
          <w:b/>
        </w:rPr>
      </w:pPr>
      <w:r w:rsidRPr="002F2AEB">
        <w:rPr>
          <w:b/>
        </w:rPr>
        <w:t>Outcome 2: Design bioinformatic pipeline</w:t>
      </w:r>
    </w:p>
    <w:p w14:paraId="4E4FC948" w14:textId="77777777" w:rsidR="002F2AEB" w:rsidRDefault="002F2AEB" w:rsidP="001E0EA2">
      <w:pPr>
        <w:jc w:val="both"/>
      </w:pPr>
      <w:r>
        <w:t xml:space="preserve">Design of a pipeline for the generation of TFBSs sets with a broad range of affinities to its corresponding TFs. </w:t>
      </w:r>
    </w:p>
    <w:p w14:paraId="65E9A433" w14:textId="77777777" w:rsidR="002F2AEB" w:rsidRPr="002F2AEB" w:rsidRDefault="002F2AEB" w:rsidP="002F2AEB">
      <w:pPr>
        <w:rPr>
          <w:b/>
        </w:rPr>
      </w:pPr>
      <w:r w:rsidRPr="002F2AEB">
        <w:rPr>
          <w:b/>
        </w:rPr>
        <w:t>Completed:</w:t>
      </w:r>
    </w:p>
    <w:p w14:paraId="4F4D1896" w14:textId="4B914201" w:rsidR="002F2AEB" w:rsidRDefault="002F2AEB" w:rsidP="001E0EA2">
      <w:pPr>
        <w:jc w:val="both"/>
      </w:pPr>
      <w:r>
        <w:t xml:space="preserve">The TRAMP pipeline has been constructed in line with the methodology </w:t>
      </w:r>
      <w:r w:rsidR="00106B06">
        <w:t xml:space="preserve">described </w:t>
      </w:r>
      <w:r>
        <w:t xml:space="preserve">in our application. Some design changes </w:t>
      </w:r>
      <w:r w:rsidR="00106B06">
        <w:t xml:space="preserve">have been </w:t>
      </w:r>
      <w:r>
        <w:t xml:space="preserve">made. Primarily, the first step of the proposed bioinformatic pipeline, the generation of all possible sequences matching to the position weight matrix of a given transcription factor (TF), was substituted for the extraction of this information from peak data (e.g. the results of </w:t>
      </w:r>
      <w:proofErr w:type="spellStart"/>
      <w:r>
        <w:t>ChIP-seq</w:t>
      </w:r>
      <w:proofErr w:type="spellEnd"/>
      <w:r>
        <w:t xml:space="preserve"> of DAP-</w:t>
      </w:r>
      <w:proofErr w:type="spellStart"/>
      <w:r>
        <w:t>seq</w:t>
      </w:r>
      <w:proofErr w:type="spellEnd"/>
      <w:r>
        <w:t>). This modification widens the utility of the pipeline</w:t>
      </w:r>
      <w:r w:rsidR="00106B06">
        <w:t>,</w:t>
      </w:r>
      <w:r>
        <w:t xml:space="preserve"> as it will now be applicable to data sets which do not have resolved binding motifs available. Further to this, we have supplemented the proposed pipeline design to include an </w:t>
      </w:r>
      <w:r w:rsidRPr="001E0EA2">
        <w:rPr>
          <w:i/>
        </w:rPr>
        <w:t>in-silico</w:t>
      </w:r>
      <w:r>
        <w:t xml:space="preserve"> proxy for binding. This addition provides the user with multiple options for generating predictions to test using the TRAMP assay. </w:t>
      </w:r>
    </w:p>
    <w:p w14:paraId="5BB50716" w14:textId="77777777" w:rsidR="002F2AEB" w:rsidRPr="002F2AEB" w:rsidRDefault="002F2AEB" w:rsidP="002F2AEB">
      <w:pPr>
        <w:rPr>
          <w:b/>
        </w:rPr>
      </w:pPr>
      <w:r w:rsidRPr="002F2AEB">
        <w:rPr>
          <w:b/>
        </w:rPr>
        <w:t>In progress:</w:t>
      </w:r>
    </w:p>
    <w:p w14:paraId="4ADDB39A" w14:textId="1E9DF70F" w:rsidR="002F2AEB" w:rsidRDefault="002F2AEB" w:rsidP="001E0EA2">
      <w:pPr>
        <w:jc w:val="both"/>
      </w:pPr>
      <w:r>
        <w:t xml:space="preserve">The TRAMP bioinformatic pipeline is currently being modified to allow the inclusion of population level variation in TF binding sites (TFBS) and their context regions. By including this information, the user will be able to identify the most conserved bases in TFBS of interest, as well as what the largest effect SNPs are, both in terms of their effect on DNA shape </w:t>
      </w:r>
      <w:r w:rsidR="00106B06">
        <w:t>and</w:t>
      </w:r>
      <w:r>
        <w:t xml:space="preserve"> </w:t>
      </w:r>
      <w:r w:rsidRPr="001E0EA2">
        <w:rPr>
          <w:i/>
        </w:rPr>
        <w:t>in-silico</w:t>
      </w:r>
      <w:r>
        <w:t xml:space="preserve"> binding affinity. </w:t>
      </w:r>
    </w:p>
    <w:p w14:paraId="36400844" w14:textId="5B24E8F9" w:rsidR="002F2AEB" w:rsidRDefault="002F2AEB" w:rsidP="002F2AEB">
      <w:r>
        <w:lastRenderedPageBreak/>
        <w:t xml:space="preserve"> </w:t>
      </w:r>
      <w:r>
        <w:rPr>
          <w:noProof/>
        </w:rPr>
        <w:drawing>
          <wp:inline distT="0" distB="0" distL="0" distR="0" wp14:anchorId="320A9224" wp14:editId="0A64A89B">
            <wp:extent cx="5731510" cy="229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GA1_corrected1_perBaseMAFplot.wmf"/>
                    <pic:cNvPicPr/>
                  </pic:nvPicPr>
                  <pic:blipFill>
                    <a:blip r:embed="rId7">
                      <a:extLst>
                        <a:ext uri="{28A0092B-C50C-407E-A947-70E740481C1C}">
                          <a14:useLocalDpi xmlns:a14="http://schemas.microsoft.com/office/drawing/2010/main" val="0"/>
                        </a:ext>
                      </a:extLst>
                    </a:blip>
                    <a:stretch>
                      <a:fillRect/>
                    </a:stretch>
                  </pic:blipFill>
                  <pic:spPr>
                    <a:xfrm>
                      <a:off x="0" y="0"/>
                      <a:ext cx="5731510" cy="2298700"/>
                    </a:xfrm>
                    <a:prstGeom prst="rect">
                      <a:avLst/>
                    </a:prstGeom>
                  </pic:spPr>
                </pic:pic>
              </a:graphicData>
            </a:graphic>
          </wp:inline>
        </w:drawing>
      </w:r>
    </w:p>
    <w:p w14:paraId="47068368" w14:textId="5891112E" w:rsidR="00D51EAB" w:rsidRDefault="002F2AEB" w:rsidP="001E0EA2">
      <w:pPr>
        <w:jc w:val="both"/>
      </w:pPr>
      <w:r w:rsidRPr="001E0EA2">
        <w:rPr>
          <w:b/>
        </w:rPr>
        <w:t xml:space="preserve">Figure </w:t>
      </w:r>
      <w:r w:rsidR="00891A2E" w:rsidRPr="001E0EA2">
        <w:rPr>
          <w:b/>
        </w:rPr>
        <w:t>2</w:t>
      </w:r>
      <w:r w:rsidRPr="001E0EA2">
        <w:rPr>
          <w:b/>
        </w:rPr>
        <w:t>.</w:t>
      </w:r>
      <w:r>
        <w:t xml:space="preserve"> Minor allele frequency </w:t>
      </w:r>
      <w:r w:rsidR="00AC0E96">
        <w:t xml:space="preserve">(MAF) </w:t>
      </w:r>
      <w:r>
        <w:t>at loci which fall within (green boxes) and around (blues) predicted binding motifs for the transcription factor TGA1. Population variation data drawn from the 1001 Arabidopsis genomes project.</w:t>
      </w:r>
      <w:r w:rsidR="00AC0E96">
        <w:t xml:space="preserve"> Boxes represent the quartile range of the MAFs, with the central bar representing the median. Whiskers represent the rest of the distribution of MAF at each base, with diamond points representing outing values. Numbers overlaid at each position show the number of SNPs present at the locus.  </w:t>
      </w:r>
    </w:p>
    <w:p w14:paraId="7BD254A0" w14:textId="77777777" w:rsidR="00AC0E96" w:rsidRDefault="00AC0E96" w:rsidP="002F2AEB">
      <w:pPr>
        <w:rPr>
          <w:b/>
        </w:rPr>
      </w:pPr>
    </w:p>
    <w:p w14:paraId="1D1715F6" w14:textId="79129619" w:rsidR="002F2AEB" w:rsidRDefault="001B4977" w:rsidP="002F2AEB">
      <w:r w:rsidRPr="001B4977">
        <w:rPr>
          <w:b/>
        </w:rPr>
        <w:t>Outcome 3</w:t>
      </w:r>
      <w:r>
        <w:t>:</w:t>
      </w:r>
      <w:r w:rsidR="009A1A70">
        <w:t xml:space="preserve"> </w:t>
      </w:r>
      <w:r w:rsidR="009A1A70" w:rsidRPr="0066592D">
        <w:rPr>
          <w:b/>
        </w:rPr>
        <w:t xml:space="preserve">Compare TF binding affinity </w:t>
      </w:r>
      <w:r w:rsidR="00C23809" w:rsidRPr="0066592D">
        <w:rPr>
          <w:b/>
        </w:rPr>
        <w:t>to</w:t>
      </w:r>
      <w:r w:rsidR="009A1A70" w:rsidRPr="0066592D">
        <w:rPr>
          <w:b/>
        </w:rPr>
        <w:t xml:space="preserve"> </w:t>
      </w:r>
      <w:r w:rsidR="00AC0E96" w:rsidRPr="0066592D">
        <w:rPr>
          <w:b/>
        </w:rPr>
        <w:t xml:space="preserve">TFBSs </w:t>
      </w:r>
      <w:r w:rsidR="00C23809" w:rsidRPr="0066592D">
        <w:rPr>
          <w:b/>
        </w:rPr>
        <w:t xml:space="preserve">predicted </w:t>
      </w:r>
      <w:r w:rsidR="00AC0E96">
        <w:rPr>
          <w:b/>
        </w:rPr>
        <w:t>using</w:t>
      </w:r>
      <w:r w:rsidR="00AC0E96" w:rsidRPr="0066592D">
        <w:rPr>
          <w:b/>
        </w:rPr>
        <w:t xml:space="preserve"> </w:t>
      </w:r>
      <w:r w:rsidR="009A1A70" w:rsidRPr="0066592D">
        <w:rPr>
          <w:b/>
        </w:rPr>
        <w:t>TRAMP</w:t>
      </w:r>
    </w:p>
    <w:p w14:paraId="57EF8D2C" w14:textId="512D88B4" w:rsidR="00084DCD" w:rsidRDefault="00084DCD" w:rsidP="001E0EA2">
      <w:pPr>
        <w:jc w:val="both"/>
      </w:pPr>
      <w:r>
        <w:t xml:space="preserve">Use TRAMP to compare </w:t>
      </w:r>
      <w:r w:rsidR="00AC0E96">
        <w:t xml:space="preserve">the </w:t>
      </w:r>
      <w:r>
        <w:t xml:space="preserve">TF binding affinities </w:t>
      </w:r>
      <w:r w:rsidR="00AC0E96">
        <w:t xml:space="preserve">of </w:t>
      </w:r>
      <w:r>
        <w:t>TFBS variants</w:t>
      </w:r>
      <w:r w:rsidR="00AC0E96">
        <w:t>.</w:t>
      </w:r>
      <w:r>
        <w:t xml:space="preserve"> </w:t>
      </w:r>
      <w:r w:rsidR="00AC0E96">
        <w:t>I</w:t>
      </w:r>
      <w:r>
        <w:t xml:space="preserve">dentify </w:t>
      </w:r>
      <w:r w:rsidR="00AC0E96">
        <w:t xml:space="preserve">the largest variation in </w:t>
      </w:r>
      <w:r>
        <w:t xml:space="preserve">TFBS binding </w:t>
      </w:r>
      <w:r w:rsidR="00AC0E96">
        <w:t>affinity</w:t>
      </w:r>
      <w:r>
        <w:t xml:space="preserve">. </w:t>
      </w:r>
    </w:p>
    <w:p w14:paraId="295B92B1" w14:textId="77777777" w:rsidR="00084DCD" w:rsidRDefault="00084DCD" w:rsidP="002F2AEB">
      <w:r w:rsidRPr="00084DCD">
        <w:rPr>
          <w:b/>
        </w:rPr>
        <w:t>Completed</w:t>
      </w:r>
      <w:r>
        <w:t>:</w:t>
      </w:r>
    </w:p>
    <w:p w14:paraId="16534276" w14:textId="61A98CB9" w:rsidR="00084DCD" w:rsidRDefault="00AC0E96" w:rsidP="001E0EA2">
      <w:pPr>
        <w:jc w:val="both"/>
      </w:pPr>
      <w:r>
        <w:t>We have completed a</w:t>
      </w:r>
      <w:r w:rsidR="00084DCD">
        <w:t xml:space="preserve"> </w:t>
      </w:r>
      <w:r w:rsidR="00D05FA7">
        <w:t xml:space="preserve">preliminary test </w:t>
      </w:r>
      <w:r>
        <w:t xml:space="preserve">of the TRAMP assay using the </w:t>
      </w:r>
      <w:r w:rsidR="00D05FA7" w:rsidRPr="00A475A7">
        <w:rPr>
          <w:i/>
        </w:rPr>
        <w:t>Arabidopsis</w:t>
      </w:r>
      <w:r w:rsidR="00D05FA7">
        <w:t xml:space="preserve"> </w:t>
      </w:r>
      <w:r w:rsidRPr="001E0EA2">
        <w:rPr>
          <w:i/>
        </w:rPr>
        <w:t>thaliana</w:t>
      </w:r>
      <w:r>
        <w:t xml:space="preserve"> TF </w:t>
      </w:r>
      <w:r w:rsidR="00D05FA7">
        <w:t>TGA2 and three of</w:t>
      </w:r>
      <w:r w:rsidR="00A475A7">
        <w:t xml:space="preserve"> its binding site variants</w:t>
      </w:r>
      <w:r>
        <w:t>:</w:t>
      </w:r>
      <w:r w:rsidR="00A475A7">
        <w:t xml:space="preserve"> as-1, as-1-like and as-1-c. </w:t>
      </w:r>
      <w:r w:rsidR="00601532">
        <w:t>as</w:t>
      </w:r>
      <w:r w:rsidR="00A475A7">
        <w:t>-1 and as-1-like are natural</w:t>
      </w:r>
      <w:r>
        <w:t>ly</w:t>
      </w:r>
      <w:r w:rsidR="00A475A7">
        <w:t xml:space="preserve"> </w:t>
      </w:r>
      <w:r>
        <w:t xml:space="preserve">occurring </w:t>
      </w:r>
      <w:r w:rsidR="00A475A7">
        <w:t>TFBS</w:t>
      </w:r>
      <w:r>
        <w:t>s</w:t>
      </w:r>
      <w:r w:rsidR="00A475A7">
        <w:t xml:space="preserve">. </w:t>
      </w:r>
      <w:r w:rsidR="00601532">
        <w:t>as</w:t>
      </w:r>
      <w:r w:rsidR="00A475A7">
        <w:t xml:space="preserve">-1-like has suboptimal </w:t>
      </w:r>
      <w:r>
        <w:t xml:space="preserve">binding site </w:t>
      </w:r>
      <w:r w:rsidR="00A475A7">
        <w:t xml:space="preserve">architecture </w:t>
      </w:r>
      <w:r>
        <w:t>when binding</w:t>
      </w:r>
      <w:r w:rsidR="00A475A7">
        <w:t xml:space="preserve"> to </w:t>
      </w:r>
      <w:r w:rsidR="00601532">
        <w:t>TGA2 and is expected to exhibit less binding affinity</w:t>
      </w:r>
      <w:r w:rsidR="00A475A7">
        <w:t xml:space="preserve">. </w:t>
      </w:r>
      <w:r w:rsidR="00601532">
        <w:t>as</w:t>
      </w:r>
      <w:r w:rsidR="00A475A7">
        <w:t xml:space="preserve">-1-c is the </w:t>
      </w:r>
      <w:r w:rsidR="002F7B02">
        <w:t xml:space="preserve">best </w:t>
      </w:r>
      <w:r w:rsidR="00A475A7">
        <w:t>consensus sequence of as-1</w:t>
      </w:r>
      <w:r w:rsidR="002F7B02">
        <w:t xml:space="preserve"> motifs</w:t>
      </w:r>
      <w:r w:rsidR="00A475A7">
        <w:t xml:space="preserve"> </w:t>
      </w:r>
      <w:r w:rsidR="002F7B02">
        <w:t xml:space="preserve">identified in </w:t>
      </w:r>
      <w:r w:rsidR="00A475A7">
        <w:t>plant viral/bacterial promoters</w:t>
      </w:r>
      <w:r w:rsidR="00601532">
        <w:t>, and is expected</w:t>
      </w:r>
      <w:r w:rsidR="00891A2E">
        <w:t xml:space="preserve"> to </w:t>
      </w:r>
      <w:r w:rsidR="005A0E66">
        <w:t xml:space="preserve">exhibit </w:t>
      </w:r>
      <w:r w:rsidR="00891A2E">
        <w:t>higher binding affinity to TGA2.</w:t>
      </w:r>
      <w:r w:rsidR="00891A2E" w:rsidRPr="00891A2E">
        <w:t xml:space="preserve"> </w:t>
      </w:r>
      <w:r w:rsidR="00891A2E">
        <w:t xml:space="preserve"> TRAMP </w:t>
      </w:r>
      <w:r w:rsidR="00601532">
        <w:t xml:space="preserve">was able to </w:t>
      </w:r>
      <w:r w:rsidR="00891A2E">
        <w:t xml:space="preserve">detect </w:t>
      </w:r>
      <w:r w:rsidR="00601532">
        <w:t xml:space="preserve">the </w:t>
      </w:r>
      <w:r w:rsidR="00891A2E">
        <w:t>higher binding affinity of as-1-c to TGA2 compared to as-</w:t>
      </w:r>
      <w:r w:rsidR="00601532">
        <w:t>1 but</w:t>
      </w:r>
      <w:r w:rsidR="00891A2E">
        <w:t xml:space="preserve"> d</w:t>
      </w:r>
      <w:r w:rsidR="005A0E66">
        <w:t>id</w:t>
      </w:r>
      <w:r w:rsidR="00891A2E">
        <w:t xml:space="preserve">n’t detect </w:t>
      </w:r>
      <w:r w:rsidR="00601532">
        <w:t xml:space="preserve">any </w:t>
      </w:r>
      <w:r w:rsidR="00891A2E">
        <w:t>differen</w:t>
      </w:r>
      <w:r w:rsidR="00601532">
        <w:t>ce between the</w:t>
      </w:r>
      <w:r w:rsidR="00891A2E">
        <w:t xml:space="preserve"> binding affinities </w:t>
      </w:r>
      <w:r w:rsidR="00601532">
        <w:t xml:space="preserve">of the </w:t>
      </w:r>
      <w:r w:rsidR="00891A2E">
        <w:t>as-1-like and as-1</w:t>
      </w:r>
      <w:r w:rsidR="005A0E66">
        <w:t xml:space="preserve"> </w:t>
      </w:r>
      <w:r w:rsidR="00601532">
        <w:t xml:space="preserve">TFBS </w:t>
      </w:r>
      <w:r w:rsidR="005A0E66">
        <w:t xml:space="preserve">(Figure </w:t>
      </w:r>
      <w:r w:rsidR="00601532">
        <w:t>3</w:t>
      </w:r>
      <w:r w:rsidR="005A0E66">
        <w:t>)</w:t>
      </w:r>
      <w:r w:rsidR="00891A2E">
        <w:t xml:space="preserve">. </w:t>
      </w:r>
    </w:p>
    <w:p w14:paraId="1A75C588" w14:textId="3975788D" w:rsidR="00891A2E" w:rsidRDefault="00891A2E" w:rsidP="00891A2E">
      <w:pPr>
        <w:ind w:left="1440" w:firstLine="720"/>
      </w:pPr>
      <w:r w:rsidRPr="00891A2E">
        <w:rPr>
          <w:rFonts w:ascii="Times New Roman" w:eastAsia="Times New Roman" w:hAnsi="Times New Roman" w:cs="Times New Roman"/>
          <w:noProof/>
          <w:sz w:val="24"/>
          <w:szCs w:val="24"/>
          <w:lang w:eastAsia="zh-CN"/>
        </w:rPr>
        <w:drawing>
          <wp:anchor distT="0" distB="0" distL="114300" distR="114300" simplePos="0" relativeHeight="251660288" behindDoc="0" locked="0" layoutInCell="1" allowOverlap="1" wp14:anchorId="1A6A70CE" wp14:editId="6A9E8A85">
            <wp:simplePos x="0" y="0"/>
            <wp:positionH relativeFrom="column">
              <wp:posOffset>2741979</wp:posOffset>
            </wp:positionH>
            <wp:positionV relativeFrom="paragraph">
              <wp:posOffset>36195</wp:posOffset>
            </wp:positionV>
            <wp:extent cx="83820" cy="83820"/>
            <wp:effectExtent l="0" t="0" r="5080" b="5080"/>
            <wp:wrapNone/>
            <wp:docPr id="8" name="Picture 8" descr="Image result for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asteris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30861F7" wp14:editId="5F34ED3A">
                <wp:simplePos x="0" y="0"/>
                <wp:positionH relativeFrom="column">
                  <wp:posOffset>2159391</wp:posOffset>
                </wp:positionH>
                <wp:positionV relativeFrom="paragraph">
                  <wp:posOffset>149078</wp:posOffset>
                </wp:positionV>
                <wp:extent cx="1287194" cy="0"/>
                <wp:effectExtent l="0" t="0" r="8255" b="12700"/>
                <wp:wrapNone/>
                <wp:docPr id="4" name="Straight Connector 4"/>
                <wp:cNvGraphicFramePr/>
                <a:graphic xmlns:a="http://schemas.openxmlformats.org/drawingml/2006/main">
                  <a:graphicData uri="http://schemas.microsoft.com/office/word/2010/wordprocessingShape">
                    <wps:wsp>
                      <wps:cNvCnPr/>
                      <wps:spPr>
                        <a:xfrm>
                          <a:off x="0" y="0"/>
                          <a:ext cx="128719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609BD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0.05pt,11.75pt" to="271.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" strokecolor="black [3213]" strokeweight="1pt">
                <v:stroke joinstyle="miter"/>
              </v:line>
            </w:pict>
          </mc:Fallback>
        </mc:AlternateContent>
      </w:r>
      <w:r>
        <w:rPr>
          <w:noProof/>
        </w:rPr>
        <w:drawing>
          <wp:inline distT="0" distB="0" distL="0" distR="0" wp14:anchorId="6E1C86DC" wp14:editId="16101C8F">
            <wp:extent cx="3221502" cy="1744394"/>
            <wp:effectExtent l="0" t="0" r="0" b="8255"/>
            <wp:docPr id="2" name="Chart 2">
              <a:extLst xmlns:a="http://schemas.openxmlformats.org/drawingml/2006/main">
                <a:ext uri="{FF2B5EF4-FFF2-40B4-BE49-F238E27FC236}">
                  <a16:creationId xmlns:a16="http://schemas.microsoft.com/office/drawing/2014/main" id="{A070D57E-5507-2943-A531-8B5F86B84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765DAA" w14:textId="26AC69AF" w:rsidR="00891A2E" w:rsidRPr="00891A2E" w:rsidRDefault="00891A2E" w:rsidP="007963A6">
      <w:pPr>
        <w:rPr>
          <w:rFonts w:ascii="Times New Roman" w:eastAsia="Times New Roman" w:hAnsi="Times New Roman" w:cs="Times New Roman"/>
          <w:sz w:val="24"/>
          <w:szCs w:val="24"/>
          <w:lang w:eastAsia="zh-CN"/>
        </w:rPr>
      </w:pPr>
      <w:r w:rsidRPr="009E7EA5">
        <w:rPr>
          <w:b/>
        </w:rPr>
        <w:t>Figure 3.</w:t>
      </w:r>
      <w:r>
        <w:t xml:space="preserve"> Binding preferences of TGA2 to various TFBSs. Three TGA2 binding sites variants, as-1, as-1-like and as-1-c were subjected to TRAMP. Asterisk indicate</w:t>
      </w:r>
      <w:r w:rsidR="00601532">
        <w:t>s</w:t>
      </w:r>
      <w:r>
        <w:t xml:space="preserve"> </w:t>
      </w:r>
      <w:r w:rsidR="00D8262B">
        <w:t xml:space="preserve">significant difference between as-1 and </w:t>
      </w:r>
      <w:r w:rsidR="00D8262B">
        <w:lastRenderedPageBreak/>
        <w:t xml:space="preserve">as-1-c TRAMP </w:t>
      </w:r>
      <w:r w:rsidR="006E6CC3">
        <w:t>Binding preference</w:t>
      </w:r>
      <w:r w:rsidR="00D8262B">
        <w:t xml:space="preserve"> values (</w:t>
      </w:r>
      <w:r w:rsidR="00F145AE">
        <w:t xml:space="preserve">P </w:t>
      </w:r>
      <w:r w:rsidR="002F7B02">
        <w:t>= 0.009</w:t>
      </w:r>
      <w:r w:rsidR="00D8262B">
        <w:t>,</w:t>
      </w:r>
      <w:r w:rsidR="00601532">
        <w:t xml:space="preserve"> </w:t>
      </w:r>
      <w:r>
        <w:t xml:space="preserve">Student’s </w:t>
      </w:r>
      <w:r w:rsidR="00601532">
        <w:t>T-</w:t>
      </w:r>
      <w:r>
        <w:t>test</w:t>
      </w:r>
      <w:r w:rsidR="001C0B62">
        <w:t>)</w:t>
      </w:r>
      <w:r>
        <w:t>.</w:t>
      </w:r>
      <w:r w:rsidR="001C0B62" w:rsidRPr="001C0B62">
        <w:t xml:space="preserve"> </w:t>
      </w:r>
      <w:r w:rsidR="001C0B62">
        <w:t xml:space="preserve">Bar height represents the mean value of </w:t>
      </w:r>
      <w:r w:rsidR="00F145AE">
        <w:t>three</w:t>
      </w:r>
      <w:r w:rsidR="002F7B02">
        <w:t xml:space="preserve"> </w:t>
      </w:r>
      <w:r w:rsidR="001C0B62">
        <w:t xml:space="preserve">replicates of the assay, error bars represent </w:t>
      </w:r>
      <w:r w:rsidR="00F145AE">
        <w:t>two</w:t>
      </w:r>
      <w:r w:rsidR="002F7B02">
        <w:t xml:space="preserve"> times </w:t>
      </w:r>
      <w:r w:rsidR="001C0B62">
        <w:t>standard error around the mean.</w:t>
      </w:r>
      <w:r w:rsidRPr="00891A2E">
        <w:rPr>
          <w:rFonts w:ascii="Times New Roman" w:eastAsia="Times New Roman" w:hAnsi="Times New Roman" w:cs="Times New Roman"/>
          <w:sz w:val="24"/>
          <w:szCs w:val="24"/>
          <w:lang w:eastAsia="zh-CN"/>
        </w:rPr>
        <w:fldChar w:fldCharType="begin"/>
      </w:r>
      <w:r w:rsidRPr="00891A2E">
        <w:rPr>
          <w:rFonts w:ascii="Times New Roman" w:eastAsia="Times New Roman" w:hAnsi="Times New Roman" w:cs="Times New Roman"/>
          <w:sz w:val="24"/>
          <w:szCs w:val="24"/>
          <w:lang w:eastAsia="zh-CN"/>
        </w:rPr>
        <w:instrText xml:space="preserve"> INCLUDEPICTURE "https://image.flaticon.com/icons/png/512/36/36779.png" \* MERGEFORMATINET </w:instrText>
      </w:r>
      <w:r w:rsidRPr="00891A2E">
        <w:rPr>
          <w:rFonts w:ascii="Times New Roman" w:eastAsia="Times New Roman" w:hAnsi="Times New Roman" w:cs="Times New Roman"/>
          <w:sz w:val="24"/>
          <w:szCs w:val="24"/>
          <w:lang w:eastAsia="zh-CN"/>
        </w:rPr>
        <w:fldChar w:fldCharType="end"/>
      </w:r>
    </w:p>
    <w:p w14:paraId="5CFBF38A" w14:textId="77777777" w:rsidR="00A475A7" w:rsidRDefault="00A475A7" w:rsidP="002F2AEB"/>
    <w:p w14:paraId="3BEDB9BF" w14:textId="77777777" w:rsidR="00891A2E" w:rsidRPr="00891A2E" w:rsidRDefault="00891A2E" w:rsidP="002F2AEB">
      <w:pPr>
        <w:rPr>
          <w:b/>
        </w:rPr>
      </w:pPr>
      <w:r w:rsidRPr="00891A2E">
        <w:rPr>
          <w:b/>
        </w:rPr>
        <w:t>In progress:</w:t>
      </w:r>
    </w:p>
    <w:p w14:paraId="7EA664C8" w14:textId="706F65D2" w:rsidR="00C23809" w:rsidRDefault="001C0B62" w:rsidP="005E6648">
      <w:pPr>
        <w:jc w:val="both"/>
      </w:pPr>
      <w:r>
        <w:t xml:space="preserve">We will complete Outcome 3 by testing the variant TFBS for a range of TFs as predicted by our analytical pipeline. Predictions have been generated for all TFs in four TF families using </w:t>
      </w:r>
      <w:r>
        <w:rPr>
          <w:i/>
        </w:rPr>
        <w:t xml:space="preserve">Arabidopsis thaliana </w:t>
      </w:r>
      <w:r>
        <w:t>DAP-</w:t>
      </w:r>
      <w:proofErr w:type="spellStart"/>
      <w:r>
        <w:t>seq</w:t>
      </w:r>
      <w:proofErr w:type="spellEnd"/>
      <w:r>
        <w:t xml:space="preserve"> data. Unfortunately</w:t>
      </w:r>
      <w:r w:rsidR="00891A2E">
        <w:t xml:space="preserve">, due to the delay of expression of </w:t>
      </w:r>
      <w:r w:rsidR="007F7F9B">
        <w:t xml:space="preserve">corresponding TFs, </w:t>
      </w:r>
      <w:r>
        <w:t>we are unable to include these results in this report</w:t>
      </w:r>
      <w:r w:rsidR="007F7F9B">
        <w:t xml:space="preserve">. Different parameters of protein expression have been optimised for these proteins and the yields </w:t>
      </w:r>
      <w:r>
        <w:t>are currently being</w:t>
      </w:r>
      <w:r w:rsidR="007F7F9B">
        <w:t xml:space="preserve"> improved.</w:t>
      </w:r>
      <w:r w:rsidR="0060551E">
        <w:t xml:space="preserve"> </w:t>
      </w:r>
      <w:r w:rsidR="00DB0C51">
        <w:t xml:space="preserve">We aim to </w:t>
      </w:r>
      <w:r w:rsidR="007963A6">
        <w:t>finish the expression of target TFs proteins in the following weeks and complete the assay</w:t>
      </w:r>
      <w:r w:rsidR="00DB0C51">
        <w:t xml:space="preserve"> </w:t>
      </w:r>
      <w:r w:rsidR="0060551E">
        <w:t>by the end of April 201</w:t>
      </w:r>
      <w:r w:rsidR="009A70EB">
        <w:t xml:space="preserve">9. </w:t>
      </w:r>
    </w:p>
    <w:p w14:paraId="2B0ED2E2" w14:textId="77777777" w:rsidR="001C0B62" w:rsidRDefault="001C0B62" w:rsidP="00D51EAB">
      <w:pPr>
        <w:spacing w:after="0"/>
        <w:rPr>
          <w:b/>
        </w:rPr>
      </w:pPr>
    </w:p>
    <w:p w14:paraId="54A1F305" w14:textId="77777777" w:rsidR="001C0B62" w:rsidRDefault="001C0B62" w:rsidP="00D51EAB">
      <w:pPr>
        <w:spacing w:after="0"/>
        <w:rPr>
          <w:b/>
        </w:rPr>
      </w:pPr>
    </w:p>
    <w:p w14:paraId="5FEC1A04" w14:textId="57D783DC" w:rsidR="00D51EAB" w:rsidRDefault="00D51EAB" w:rsidP="00D51EAB">
      <w:pPr>
        <w:spacing w:after="0"/>
        <w:rPr>
          <w:b/>
        </w:rPr>
      </w:pPr>
      <w:r>
        <w:rPr>
          <w:b/>
        </w:rPr>
        <w:t>Changes to team</w:t>
      </w:r>
    </w:p>
    <w:p w14:paraId="01EA6E29" w14:textId="77777777" w:rsidR="00171195" w:rsidRPr="00E77467" w:rsidRDefault="00171195" w:rsidP="00D51EAB">
      <w:pPr>
        <w:spacing w:after="0"/>
        <w:rPr>
          <w:b/>
        </w:rPr>
      </w:pPr>
    </w:p>
    <w:p w14:paraId="761D6334" w14:textId="63F4E90C" w:rsidR="00C91359" w:rsidRDefault="003909D8" w:rsidP="00C91359">
      <w:r>
        <w:t>The team has not changed</w:t>
      </w:r>
      <w:r w:rsidR="001C0B62">
        <w:t>.</w:t>
      </w:r>
    </w:p>
    <w:p w14:paraId="54B8DB27" w14:textId="3484AC67" w:rsidR="00C91359" w:rsidRDefault="00C91359" w:rsidP="00171195">
      <w:pPr>
        <w:spacing w:after="0"/>
        <w:rPr>
          <w:b/>
        </w:rPr>
      </w:pPr>
      <w:r w:rsidRPr="00C91359">
        <w:rPr>
          <w:b/>
        </w:rPr>
        <w:t>Expenditure</w:t>
      </w:r>
    </w:p>
    <w:p w14:paraId="60D6AEED" w14:textId="77777777" w:rsidR="00171195" w:rsidRPr="00171195" w:rsidRDefault="00171195" w:rsidP="00171195">
      <w:pPr>
        <w:spacing w:after="0"/>
        <w:rPr>
          <w:b/>
        </w:rPr>
      </w:pPr>
    </w:p>
    <w:p w14:paraId="52BC51B7" w14:textId="7D793287" w:rsidR="00C91359" w:rsidRDefault="00AE4D08" w:rsidP="00C91359">
      <w:r>
        <w:t>Consumables</w:t>
      </w:r>
    </w:p>
    <w:p w14:paraId="2D944FE4" w14:textId="759A59D3" w:rsidR="00AE4D08" w:rsidRDefault="00AE4D08" w:rsidP="00C91359">
      <w:r>
        <w:tab/>
        <w:t>Reagent</w:t>
      </w:r>
      <w:r>
        <w:tab/>
      </w:r>
      <w:r>
        <w:tab/>
      </w:r>
      <w:r w:rsidR="00233F2B">
        <w:tab/>
      </w:r>
      <w:r w:rsidR="00233F2B">
        <w:tab/>
      </w:r>
      <w:r>
        <w:t>£1,452.11</w:t>
      </w:r>
    </w:p>
    <w:p w14:paraId="208ACF03" w14:textId="79FFEFB4" w:rsidR="00233F2B" w:rsidRDefault="00AE4D08" w:rsidP="00C91359">
      <w:r>
        <w:tab/>
        <w:t>Synthetic DNA</w:t>
      </w:r>
      <w:r w:rsidR="00233F2B">
        <w:t xml:space="preserve"> and oligos</w:t>
      </w:r>
      <w:r>
        <w:tab/>
      </w:r>
      <w:r>
        <w:tab/>
        <w:t>£2,147.63</w:t>
      </w:r>
    </w:p>
    <w:p w14:paraId="07498905" w14:textId="46DC36FF" w:rsidR="00AE4D08" w:rsidRDefault="00AE4D08" w:rsidP="00C91359">
      <w:r>
        <w:t>Postage and Couriers</w:t>
      </w:r>
      <w:r>
        <w:tab/>
      </w:r>
      <w:r>
        <w:tab/>
      </w:r>
      <w:r w:rsidR="00233F2B">
        <w:tab/>
      </w:r>
      <w:r w:rsidR="00233F2B">
        <w:tab/>
      </w:r>
      <w:r>
        <w:t>£137</w:t>
      </w:r>
    </w:p>
    <w:p w14:paraId="59835C80" w14:textId="142ED4B5" w:rsidR="00AE4D08" w:rsidRPr="00AE4D08" w:rsidRDefault="00AE4D08" w:rsidP="00C91359">
      <w:pPr>
        <w:rPr>
          <w:b/>
          <w:i/>
        </w:rPr>
      </w:pPr>
      <w:r w:rsidRPr="00AE4D08">
        <w:rPr>
          <w:b/>
          <w:i/>
        </w:rPr>
        <w:t>Total</w:t>
      </w:r>
      <w:r w:rsidRPr="00AE4D08">
        <w:rPr>
          <w:b/>
          <w:i/>
        </w:rPr>
        <w:tab/>
      </w:r>
      <w:r w:rsidRPr="00AE4D08">
        <w:rPr>
          <w:b/>
          <w:i/>
        </w:rPr>
        <w:tab/>
      </w:r>
      <w:r w:rsidRPr="00AE4D08">
        <w:rPr>
          <w:b/>
          <w:i/>
        </w:rPr>
        <w:tab/>
      </w:r>
      <w:r w:rsidRPr="00AE4D08">
        <w:rPr>
          <w:b/>
          <w:i/>
        </w:rPr>
        <w:tab/>
      </w:r>
      <w:r w:rsidR="00233F2B">
        <w:rPr>
          <w:b/>
          <w:i/>
        </w:rPr>
        <w:tab/>
      </w:r>
      <w:r w:rsidR="00233F2B">
        <w:rPr>
          <w:b/>
          <w:i/>
        </w:rPr>
        <w:tab/>
      </w:r>
      <w:r>
        <w:rPr>
          <w:b/>
          <w:i/>
        </w:rPr>
        <w:t>£3,736.74</w:t>
      </w:r>
    </w:p>
    <w:p w14:paraId="63FD0A18" w14:textId="77777777" w:rsidR="00AE4D08" w:rsidRDefault="00AE4D08" w:rsidP="00C91359"/>
    <w:p w14:paraId="1D97BE90" w14:textId="652E6EBC" w:rsidR="00D51EAB" w:rsidRDefault="00D51EAB" w:rsidP="00D51EAB">
      <w:pPr>
        <w:spacing w:after="0"/>
        <w:rPr>
          <w:b/>
        </w:rPr>
      </w:pPr>
      <w:r>
        <w:rPr>
          <w:b/>
        </w:rPr>
        <w:t>Would you like to claim the £1,000 follow-on fund?</w:t>
      </w:r>
    </w:p>
    <w:p w14:paraId="415B0354" w14:textId="77777777" w:rsidR="00171195" w:rsidRDefault="00171195" w:rsidP="00D51EAB">
      <w:pPr>
        <w:spacing w:after="0"/>
        <w:rPr>
          <w:b/>
        </w:rPr>
      </w:pPr>
    </w:p>
    <w:p w14:paraId="77D1E3FD" w14:textId="0373759D" w:rsidR="00D51EAB" w:rsidRDefault="00223DA8" w:rsidP="00C91359">
      <w:r>
        <w:t>Yes, we would like to claim the £1,000 follow-on fund to be used as described below.</w:t>
      </w:r>
    </w:p>
    <w:p w14:paraId="4A2463E3" w14:textId="636693BF" w:rsidR="00C91359" w:rsidRDefault="00C91359" w:rsidP="00C91359">
      <w:pPr>
        <w:spacing w:after="0"/>
        <w:rPr>
          <w:b/>
        </w:rPr>
      </w:pPr>
      <w:r w:rsidRPr="00C91359">
        <w:rPr>
          <w:b/>
        </w:rPr>
        <w:t>Follow on Plans</w:t>
      </w:r>
    </w:p>
    <w:p w14:paraId="713EFFB1" w14:textId="77777777" w:rsidR="00171195" w:rsidRPr="00C91359" w:rsidRDefault="00171195" w:rsidP="00C91359">
      <w:pPr>
        <w:spacing w:after="0"/>
        <w:rPr>
          <w:b/>
        </w:rPr>
      </w:pPr>
      <w:bookmarkStart w:id="0" w:name="_GoBack"/>
      <w:bookmarkEnd w:id="0"/>
    </w:p>
    <w:p w14:paraId="5FA22FAE" w14:textId="1B310CA8" w:rsidR="00C91359" w:rsidRDefault="007261D2" w:rsidP="005E6648">
      <w:pPr>
        <w:pStyle w:val="ListParagraph"/>
        <w:numPr>
          <w:ilvl w:val="0"/>
          <w:numId w:val="1"/>
        </w:numPr>
        <w:jc w:val="both"/>
      </w:pPr>
      <w:r>
        <w:t>Compare TRAMP with other common</w:t>
      </w:r>
      <w:r w:rsidR="001C0B62">
        <w:t>ly</w:t>
      </w:r>
      <w:r>
        <w:t xml:space="preserve"> used method</w:t>
      </w:r>
      <w:r w:rsidR="001C0B62">
        <w:t>s</w:t>
      </w:r>
      <w:r>
        <w:t xml:space="preserve"> of TF-TFBS binding affinity</w:t>
      </w:r>
      <w:r w:rsidR="001C0B62">
        <w:t xml:space="preserve"> comparison</w:t>
      </w:r>
      <w:r>
        <w:t xml:space="preserve">, e.g. gel shift. This </w:t>
      </w:r>
      <w:r w:rsidR="001C0B62">
        <w:t xml:space="preserve">will allow us to </w:t>
      </w:r>
      <w:r>
        <w:t>validate the result</w:t>
      </w:r>
      <w:r w:rsidR="001C0B62">
        <w:t>s</w:t>
      </w:r>
      <w:r>
        <w:t xml:space="preserve"> of TRAMP</w:t>
      </w:r>
      <w:r w:rsidR="001C0B62">
        <w:t>, fully proving its utility to other investigators</w:t>
      </w:r>
      <w:r>
        <w:t xml:space="preserve">. </w:t>
      </w:r>
      <w:r w:rsidR="003909D8" w:rsidRPr="003909D8">
        <w:rPr>
          <w:b/>
        </w:rPr>
        <w:t>Time: April-June 2019. Cost: £100-£200</w:t>
      </w:r>
      <w:r w:rsidR="003909D8">
        <w:t>.</w:t>
      </w:r>
    </w:p>
    <w:p w14:paraId="54C1C724" w14:textId="179D0268" w:rsidR="007261D2" w:rsidRDefault="001C0B62" w:rsidP="005E6648">
      <w:pPr>
        <w:pStyle w:val="ListParagraph"/>
        <w:numPr>
          <w:ilvl w:val="0"/>
          <w:numId w:val="1"/>
        </w:numPr>
        <w:jc w:val="both"/>
      </w:pPr>
      <w:r>
        <w:t>Further development of t</w:t>
      </w:r>
      <w:r w:rsidR="007261D2">
        <w:t xml:space="preserve">he bioinformatic pipeline to improve the prediction of </w:t>
      </w:r>
      <w:r w:rsidR="00F76FC9">
        <w:t xml:space="preserve">important variants TFBS and their effect on </w:t>
      </w:r>
      <w:r w:rsidR="007261D2">
        <w:t xml:space="preserve">TF binding </w:t>
      </w:r>
      <w:r w:rsidR="00F76FC9">
        <w:t>affinity</w:t>
      </w:r>
      <w:r w:rsidR="007261D2">
        <w:t>.</w:t>
      </w:r>
      <w:r w:rsidR="00F76FC9">
        <w:t xml:space="preserve"> An essential stage of the development of this analytical approach is to be able to test the predictive power of the pipeline against the sensitivity of the lab assay</w:t>
      </w:r>
      <w:r w:rsidR="007261D2">
        <w:t>.</w:t>
      </w:r>
      <w:r w:rsidR="00F76FC9">
        <w:t xml:space="preserve"> This will allow our preliminary predictions to inform the development process</w:t>
      </w:r>
      <w:r w:rsidR="007261D2">
        <w:t xml:space="preserve">. </w:t>
      </w:r>
      <w:r w:rsidR="003909D8" w:rsidRPr="003909D8">
        <w:rPr>
          <w:b/>
        </w:rPr>
        <w:t>Time: April-</w:t>
      </w:r>
      <w:r w:rsidR="003909D8">
        <w:rPr>
          <w:b/>
        </w:rPr>
        <w:t>July</w:t>
      </w:r>
      <w:r w:rsidR="003909D8" w:rsidRPr="003909D8">
        <w:rPr>
          <w:b/>
        </w:rPr>
        <w:t xml:space="preserve"> 2019. Cost: £</w:t>
      </w:r>
      <w:r w:rsidR="003909D8">
        <w:rPr>
          <w:b/>
        </w:rPr>
        <w:t>4</w:t>
      </w:r>
      <w:r w:rsidR="003909D8" w:rsidRPr="003909D8">
        <w:rPr>
          <w:b/>
        </w:rPr>
        <w:t>00-£</w:t>
      </w:r>
      <w:r w:rsidR="003909D8">
        <w:rPr>
          <w:b/>
        </w:rPr>
        <w:t>6</w:t>
      </w:r>
      <w:r w:rsidR="003909D8" w:rsidRPr="003909D8">
        <w:rPr>
          <w:b/>
        </w:rPr>
        <w:t>00</w:t>
      </w:r>
      <w:r w:rsidR="003909D8">
        <w:t xml:space="preserve"> </w:t>
      </w:r>
    </w:p>
    <w:p w14:paraId="4E557ADC" w14:textId="37DA1DC5" w:rsidR="007261D2" w:rsidRDefault="00F76FC9" w:rsidP="005E6648">
      <w:pPr>
        <w:pStyle w:val="ListParagraph"/>
        <w:numPr>
          <w:ilvl w:val="0"/>
          <w:numId w:val="1"/>
        </w:numPr>
        <w:jc w:val="both"/>
      </w:pPr>
      <w:r>
        <w:t xml:space="preserve">Validate </w:t>
      </w:r>
      <w:r w:rsidR="00B70D38">
        <w:t xml:space="preserve">the biological function of TFBSs showing large differences in the TRAMP. </w:t>
      </w:r>
      <w:r>
        <w:t>This will entail c</w:t>
      </w:r>
      <w:r w:rsidR="00B70D38">
        <w:t>reating n</w:t>
      </w:r>
      <w:r>
        <w:t xml:space="preserve">ovel synthetic </w:t>
      </w:r>
      <w:r w:rsidR="00B70D38">
        <w:t>promoters by replacing original TFBS</w:t>
      </w:r>
      <w:r>
        <w:t xml:space="preserve"> </w:t>
      </w:r>
      <w:r w:rsidR="00B70D38">
        <w:t>s</w:t>
      </w:r>
      <w:r>
        <w:t>equences</w:t>
      </w:r>
      <w:r w:rsidR="00B70D38">
        <w:t xml:space="preserve"> with </w:t>
      </w:r>
      <w:r>
        <w:t xml:space="preserve">TRAMP predicted </w:t>
      </w:r>
      <w:r w:rsidR="00B70D38">
        <w:t>TFBS</w:t>
      </w:r>
      <w:r>
        <w:t xml:space="preserve"> variant</w:t>
      </w:r>
      <w:r w:rsidR="00B70D38">
        <w:t xml:space="preserve">s </w:t>
      </w:r>
      <w:r>
        <w:t xml:space="preserve">that </w:t>
      </w:r>
      <w:r w:rsidR="00B70D38">
        <w:t xml:space="preserve">exhibit different binding affinities to their corresponding TFs. </w:t>
      </w:r>
      <w:r>
        <w:lastRenderedPageBreak/>
        <w:t>T</w:t>
      </w:r>
      <w:r w:rsidR="00B70D38">
        <w:t>he</w:t>
      </w:r>
      <w:r>
        <w:t>se</w:t>
      </w:r>
      <w:r w:rsidR="00B70D38">
        <w:t xml:space="preserve"> new promoters </w:t>
      </w:r>
      <w:r>
        <w:t xml:space="preserve">will then be used </w:t>
      </w:r>
      <w:r w:rsidR="00B70D38">
        <w:t xml:space="preserve">to drive reporter genes expression in </w:t>
      </w:r>
      <w:r w:rsidR="00B70D38" w:rsidRPr="00B70D38">
        <w:rPr>
          <w:i/>
        </w:rPr>
        <w:t>Arabidopsis</w:t>
      </w:r>
      <w:r w:rsidR="00B70D38">
        <w:t xml:space="preserve"> and </w:t>
      </w:r>
      <w:proofErr w:type="spellStart"/>
      <w:r w:rsidR="00B70D38" w:rsidRPr="00B70D38">
        <w:rPr>
          <w:i/>
        </w:rPr>
        <w:t>Marchantia</w:t>
      </w:r>
      <w:proofErr w:type="spellEnd"/>
      <w:r w:rsidR="00B70D38">
        <w:t xml:space="preserve">. </w:t>
      </w:r>
      <w:r w:rsidR="003909D8" w:rsidRPr="003909D8">
        <w:rPr>
          <w:b/>
        </w:rPr>
        <w:t xml:space="preserve">Time: </w:t>
      </w:r>
      <w:r w:rsidR="003909D8">
        <w:rPr>
          <w:b/>
        </w:rPr>
        <w:t>August</w:t>
      </w:r>
      <w:r w:rsidR="003909D8" w:rsidRPr="003909D8">
        <w:rPr>
          <w:b/>
        </w:rPr>
        <w:t>-</w:t>
      </w:r>
      <w:r w:rsidR="003909D8">
        <w:rPr>
          <w:b/>
        </w:rPr>
        <w:t>October</w:t>
      </w:r>
      <w:r w:rsidR="003909D8" w:rsidRPr="003909D8">
        <w:rPr>
          <w:b/>
        </w:rPr>
        <w:t xml:space="preserve"> 2019. Cost: £</w:t>
      </w:r>
      <w:r w:rsidR="003909D8">
        <w:rPr>
          <w:b/>
        </w:rPr>
        <w:t>1</w:t>
      </w:r>
      <w:r w:rsidR="003909D8" w:rsidRPr="003909D8">
        <w:rPr>
          <w:b/>
        </w:rPr>
        <w:t>00-£</w:t>
      </w:r>
      <w:r w:rsidR="003909D8">
        <w:rPr>
          <w:b/>
        </w:rPr>
        <w:t>2</w:t>
      </w:r>
      <w:r w:rsidR="003909D8" w:rsidRPr="003909D8">
        <w:rPr>
          <w:b/>
        </w:rPr>
        <w:t>00</w:t>
      </w:r>
      <w:r w:rsidR="003909D8">
        <w:t xml:space="preserve"> </w:t>
      </w:r>
    </w:p>
    <w:p w14:paraId="6C0C13D4" w14:textId="77777777" w:rsidR="00F0615B" w:rsidRDefault="00F0615B" w:rsidP="00C91359"/>
    <w:sectPr w:rsidR="00F06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91106"/>
    <w:multiLevelType w:val="hybridMultilevel"/>
    <w:tmpl w:val="6BD4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882FDC"/>
    <w:multiLevelType w:val="hybridMultilevel"/>
    <w:tmpl w:val="01AC5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359"/>
    <w:rsid w:val="00013D64"/>
    <w:rsid w:val="0003797B"/>
    <w:rsid w:val="0006174A"/>
    <w:rsid w:val="00084DCD"/>
    <w:rsid w:val="00086F8F"/>
    <w:rsid w:val="00106B06"/>
    <w:rsid w:val="00151E1A"/>
    <w:rsid w:val="00171195"/>
    <w:rsid w:val="00174888"/>
    <w:rsid w:val="001B4977"/>
    <w:rsid w:val="001C0B62"/>
    <w:rsid w:val="001E0EA2"/>
    <w:rsid w:val="00223DA8"/>
    <w:rsid w:val="00233F2B"/>
    <w:rsid w:val="002F2AEB"/>
    <w:rsid w:val="002F7B02"/>
    <w:rsid w:val="00344374"/>
    <w:rsid w:val="003909D8"/>
    <w:rsid w:val="004B02B6"/>
    <w:rsid w:val="00574024"/>
    <w:rsid w:val="005A0E66"/>
    <w:rsid w:val="005B2F5E"/>
    <w:rsid w:val="005C081B"/>
    <w:rsid w:val="005E6648"/>
    <w:rsid w:val="00601532"/>
    <w:rsid w:val="00604AF0"/>
    <w:rsid w:val="0060551E"/>
    <w:rsid w:val="00637C08"/>
    <w:rsid w:val="0066592D"/>
    <w:rsid w:val="00670CF0"/>
    <w:rsid w:val="006E6CC3"/>
    <w:rsid w:val="007261D2"/>
    <w:rsid w:val="007963A6"/>
    <w:rsid w:val="007D42BD"/>
    <w:rsid w:val="007F7F9B"/>
    <w:rsid w:val="00833A48"/>
    <w:rsid w:val="00885891"/>
    <w:rsid w:val="00891A2E"/>
    <w:rsid w:val="008B1588"/>
    <w:rsid w:val="0092089F"/>
    <w:rsid w:val="009814FF"/>
    <w:rsid w:val="0098524B"/>
    <w:rsid w:val="009A1A70"/>
    <w:rsid w:val="009A70EB"/>
    <w:rsid w:val="009E7EA5"/>
    <w:rsid w:val="00A15ACE"/>
    <w:rsid w:val="00A475A7"/>
    <w:rsid w:val="00A52D1B"/>
    <w:rsid w:val="00AC0E96"/>
    <w:rsid w:val="00AC549C"/>
    <w:rsid w:val="00AE4D08"/>
    <w:rsid w:val="00B27AEB"/>
    <w:rsid w:val="00B55BB4"/>
    <w:rsid w:val="00B70D38"/>
    <w:rsid w:val="00C23809"/>
    <w:rsid w:val="00C424E5"/>
    <w:rsid w:val="00C84701"/>
    <w:rsid w:val="00C91359"/>
    <w:rsid w:val="00D05FA7"/>
    <w:rsid w:val="00D51EAB"/>
    <w:rsid w:val="00D8262B"/>
    <w:rsid w:val="00DB0C51"/>
    <w:rsid w:val="00E15AB9"/>
    <w:rsid w:val="00E77467"/>
    <w:rsid w:val="00E9641B"/>
    <w:rsid w:val="00EC3A4C"/>
    <w:rsid w:val="00F0615B"/>
    <w:rsid w:val="00F13703"/>
    <w:rsid w:val="00F145AE"/>
    <w:rsid w:val="00F44D9E"/>
    <w:rsid w:val="00F76FC9"/>
    <w:rsid w:val="00FC66E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635F"/>
  <w15:chartTrackingRefBased/>
  <w15:docId w15:val="{ABE8931F-932C-44C4-AD77-6162C012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7467"/>
    <w:rPr>
      <w:color w:val="0563C1" w:themeColor="hyperlink"/>
      <w:u w:val="single"/>
    </w:rPr>
  </w:style>
  <w:style w:type="character" w:styleId="UnresolvedMention">
    <w:name w:val="Unresolved Mention"/>
    <w:basedOn w:val="DefaultParagraphFont"/>
    <w:uiPriority w:val="99"/>
    <w:semiHidden/>
    <w:unhideWhenUsed/>
    <w:rsid w:val="00E77467"/>
    <w:rPr>
      <w:color w:val="808080"/>
      <w:shd w:val="clear" w:color="auto" w:fill="E6E6E6"/>
    </w:rPr>
  </w:style>
  <w:style w:type="paragraph" w:styleId="NoSpacing">
    <w:name w:val="No Spacing"/>
    <w:uiPriority w:val="1"/>
    <w:qFormat/>
    <w:rsid w:val="00C84701"/>
    <w:pPr>
      <w:spacing w:after="0" w:line="240" w:lineRule="auto"/>
    </w:pPr>
  </w:style>
  <w:style w:type="paragraph" w:styleId="ListParagraph">
    <w:name w:val="List Paragraph"/>
    <w:basedOn w:val="Normal"/>
    <w:uiPriority w:val="34"/>
    <w:qFormat/>
    <w:rsid w:val="007261D2"/>
    <w:pPr>
      <w:ind w:left="720"/>
      <w:contextualSpacing/>
    </w:pPr>
  </w:style>
  <w:style w:type="character" w:styleId="CommentReference">
    <w:name w:val="annotation reference"/>
    <w:basedOn w:val="DefaultParagraphFont"/>
    <w:uiPriority w:val="99"/>
    <w:semiHidden/>
    <w:unhideWhenUsed/>
    <w:rsid w:val="00086F8F"/>
    <w:rPr>
      <w:sz w:val="16"/>
      <w:szCs w:val="16"/>
    </w:rPr>
  </w:style>
  <w:style w:type="paragraph" w:styleId="CommentText">
    <w:name w:val="annotation text"/>
    <w:basedOn w:val="Normal"/>
    <w:link w:val="CommentTextChar"/>
    <w:uiPriority w:val="99"/>
    <w:semiHidden/>
    <w:unhideWhenUsed/>
    <w:rsid w:val="00086F8F"/>
    <w:pPr>
      <w:spacing w:line="240" w:lineRule="auto"/>
    </w:pPr>
    <w:rPr>
      <w:sz w:val="20"/>
      <w:szCs w:val="20"/>
    </w:rPr>
  </w:style>
  <w:style w:type="character" w:customStyle="1" w:styleId="CommentTextChar">
    <w:name w:val="Comment Text Char"/>
    <w:basedOn w:val="DefaultParagraphFont"/>
    <w:link w:val="CommentText"/>
    <w:uiPriority w:val="99"/>
    <w:semiHidden/>
    <w:rsid w:val="00086F8F"/>
    <w:rPr>
      <w:sz w:val="20"/>
      <w:szCs w:val="20"/>
    </w:rPr>
  </w:style>
  <w:style w:type="paragraph" w:styleId="CommentSubject">
    <w:name w:val="annotation subject"/>
    <w:basedOn w:val="CommentText"/>
    <w:next w:val="CommentText"/>
    <w:link w:val="CommentSubjectChar"/>
    <w:uiPriority w:val="99"/>
    <w:semiHidden/>
    <w:unhideWhenUsed/>
    <w:rsid w:val="00086F8F"/>
    <w:rPr>
      <w:b/>
      <w:bCs/>
    </w:rPr>
  </w:style>
  <w:style w:type="character" w:customStyle="1" w:styleId="CommentSubjectChar">
    <w:name w:val="Comment Subject Char"/>
    <w:basedOn w:val="CommentTextChar"/>
    <w:link w:val="CommentSubject"/>
    <w:uiPriority w:val="99"/>
    <w:semiHidden/>
    <w:rsid w:val="00086F8F"/>
    <w:rPr>
      <w:b/>
      <w:bCs/>
      <w:sz w:val="20"/>
      <w:szCs w:val="20"/>
    </w:rPr>
  </w:style>
  <w:style w:type="paragraph" w:styleId="BalloonText">
    <w:name w:val="Balloon Text"/>
    <w:basedOn w:val="Normal"/>
    <w:link w:val="BalloonTextChar"/>
    <w:uiPriority w:val="99"/>
    <w:semiHidden/>
    <w:unhideWhenUsed/>
    <w:rsid w:val="00086F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F8F"/>
    <w:rPr>
      <w:rFonts w:ascii="Segoe UI" w:hAnsi="Segoe UI" w:cs="Segoe UI"/>
      <w:sz w:val="18"/>
      <w:szCs w:val="18"/>
    </w:rPr>
  </w:style>
  <w:style w:type="paragraph" w:styleId="Revision">
    <w:name w:val="Revision"/>
    <w:hidden/>
    <w:uiPriority w:val="99"/>
    <w:semiHidden/>
    <w:rsid w:val="001E0E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953304">
      <w:bodyDiv w:val="1"/>
      <w:marLeft w:val="0"/>
      <w:marRight w:val="0"/>
      <w:marTop w:val="0"/>
      <w:marBottom w:val="0"/>
      <w:divBdr>
        <w:top w:val="none" w:sz="0" w:space="0" w:color="auto"/>
        <w:left w:val="none" w:sz="0" w:space="0" w:color="auto"/>
        <w:bottom w:val="none" w:sz="0" w:space="0" w:color="auto"/>
        <w:right w:val="none" w:sz="0" w:space="0" w:color="auto"/>
      </w:divBdr>
    </w:div>
    <w:div w:id="58638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caiy\OneDrive\EI_Research\open%20plant\Openplant%20fund\TRAMP\experiment_data\Tramp_data_v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docs.live.net/d68fc1f9c7820215/EI_Research/open%20plant/Openplant%20fund/TRAMP/experiment_data/Tramp_data_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82895888013999"/>
          <c:y val="7.7990428245897317E-2"/>
          <c:w val="0.69069994451151739"/>
          <c:h val="0.81197838480551432"/>
        </c:manualLayout>
      </c:layout>
      <c:barChart>
        <c:barDir val="col"/>
        <c:grouping val="clustered"/>
        <c:varyColors val="0"/>
        <c:ser>
          <c:idx val="0"/>
          <c:order val="0"/>
          <c:tx>
            <c:strRef>
              <c:f>'Binding assay'!$F$39</c:f>
              <c:strCache>
                <c:ptCount val="1"/>
                <c:pt idx="0">
                  <c:v>Random sequence</c:v>
                </c:pt>
              </c:strCache>
            </c:strRef>
          </c:tx>
          <c:spPr>
            <a:solidFill>
              <a:srgbClr val="70AD47">
                <a:lumMod val="60000"/>
                <a:lumOff val="40000"/>
              </a:srgbClr>
            </a:solidFill>
            <a:ln>
              <a:noFill/>
            </a:ln>
            <a:effectLst/>
          </c:spPr>
          <c:invertIfNegative val="0"/>
          <c:errBars>
            <c:errBarType val="both"/>
            <c:errValType val="cust"/>
            <c:noEndCap val="0"/>
            <c:plus>
              <c:numRef>
                <c:f>('Binding assay'!$B$44,'Binding assay'!$D$44)</c:f>
                <c:numCache>
                  <c:formatCode>General</c:formatCode>
                  <c:ptCount val="2"/>
                  <c:pt idx="0">
                    <c:v>12.875471943885312</c:v>
                  </c:pt>
                  <c:pt idx="1">
                    <c:v>77.848856410640025</c:v>
                  </c:pt>
                </c:numCache>
              </c:numRef>
            </c:plus>
            <c:minus>
              <c:numRef>
                <c:f>('Binding assay'!$B$44,'Binding assay'!$D$44)</c:f>
                <c:numCache>
                  <c:formatCode>General</c:formatCode>
                  <c:ptCount val="2"/>
                  <c:pt idx="0">
                    <c:v>12.875471943885312</c:v>
                  </c:pt>
                  <c:pt idx="1">
                    <c:v>77.848856410640025</c:v>
                  </c:pt>
                </c:numCache>
              </c:numRef>
            </c:minus>
            <c:spPr>
              <a:noFill/>
              <a:ln w="9525" cap="flat" cmpd="sng" algn="ctr">
                <a:solidFill>
                  <a:schemeClr val="tx1">
                    <a:lumMod val="65000"/>
                    <a:lumOff val="35000"/>
                  </a:schemeClr>
                </a:solidFill>
                <a:round/>
              </a:ln>
              <a:effectLst/>
            </c:spPr>
          </c:errBars>
          <c:cat>
            <c:strRef>
              <c:f>'Binding assay'!$F$40:$G$40</c:f>
              <c:strCache>
                <c:ptCount val="2"/>
                <c:pt idx="0">
                  <c:v>TGA1</c:v>
                </c:pt>
                <c:pt idx="1">
                  <c:v>Background proteins</c:v>
                </c:pt>
              </c:strCache>
            </c:strRef>
          </c:cat>
          <c:val>
            <c:numRef>
              <c:f>('Binding assay'!$B$43,'Binding assay'!$D$43)</c:f>
              <c:numCache>
                <c:formatCode>General</c:formatCode>
                <c:ptCount val="2"/>
                <c:pt idx="0">
                  <c:v>371.33333333333331</c:v>
                </c:pt>
                <c:pt idx="1">
                  <c:v>155.33333333333334</c:v>
                </c:pt>
              </c:numCache>
            </c:numRef>
          </c:val>
          <c:extLst>
            <c:ext xmlns:c16="http://schemas.microsoft.com/office/drawing/2014/chart" uri="{C3380CC4-5D6E-409C-BE32-E72D297353CC}">
              <c16:uniqueId val="{00000000-9924-A345-A7BF-6A39DEBB812B}"/>
            </c:ext>
          </c:extLst>
        </c:ser>
        <c:ser>
          <c:idx val="1"/>
          <c:order val="1"/>
          <c:tx>
            <c:strRef>
              <c:f>'Binding assay'!$G$39</c:f>
              <c:strCache>
                <c:ptCount val="1"/>
                <c:pt idx="0">
                  <c:v>TFBS</c:v>
                </c:pt>
              </c:strCache>
            </c:strRef>
          </c:tx>
          <c:spPr>
            <a:solidFill>
              <a:srgbClr val="5B9BD5">
                <a:lumMod val="60000"/>
                <a:lumOff val="40000"/>
              </a:srgbClr>
            </a:solidFill>
            <a:ln>
              <a:noFill/>
            </a:ln>
            <a:effectLst/>
          </c:spPr>
          <c:invertIfNegative val="0"/>
          <c:errBars>
            <c:errBarType val="both"/>
            <c:errValType val="cust"/>
            <c:noEndCap val="0"/>
            <c:plus>
              <c:numRef>
                <c:f>('Binding assay'!$C$44,'Binding assay'!$E$44)</c:f>
                <c:numCache>
                  <c:formatCode>General</c:formatCode>
                  <c:ptCount val="2"/>
                  <c:pt idx="0">
                    <c:v>52.234513919863794</c:v>
                  </c:pt>
                  <c:pt idx="1">
                    <c:v>144.95209936772599</c:v>
                  </c:pt>
                </c:numCache>
              </c:numRef>
            </c:plus>
            <c:minus>
              <c:numRef>
                <c:f>('Binding assay'!$C$44,'Binding assay'!$E$44)</c:f>
                <c:numCache>
                  <c:formatCode>General</c:formatCode>
                  <c:ptCount val="2"/>
                  <c:pt idx="0">
                    <c:v>52.234513919863794</c:v>
                  </c:pt>
                  <c:pt idx="1">
                    <c:v>144.95209936772599</c:v>
                  </c:pt>
                </c:numCache>
              </c:numRef>
            </c:minus>
            <c:spPr>
              <a:noFill/>
              <a:ln w="9525" cap="flat" cmpd="sng" algn="ctr">
                <a:solidFill>
                  <a:schemeClr val="tx1">
                    <a:lumMod val="65000"/>
                    <a:lumOff val="35000"/>
                  </a:schemeClr>
                </a:solidFill>
                <a:round/>
              </a:ln>
              <a:effectLst/>
            </c:spPr>
          </c:errBars>
          <c:cat>
            <c:strRef>
              <c:f>'Binding assay'!$F$40:$G$40</c:f>
              <c:strCache>
                <c:ptCount val="2"/>
                <c:pt idx="0">
                  <c:v>TGA1</c:v>
                </c:pt>
                <c:pt idx="1">
                  <c:v>Background proteins</c:v>
                </c:pt>
              </c:strCache>
            </c:strRef>
          </c:cat>
          <c:val>
            <c:numRef>
              <c:f>('Binding assay'!$C$43,'Binding assay'!$E$43)</c:f>
              <c:numCache>
                <c:formatCode>General</c:formatCode>
                <c:ptCount val="2"/>
                <c:pt idx="0">
                  <c:v>1021.6666666666666</c:v>
                </c:pt>
                <c:pt idx="1">
                  <c:v>106.66666666666667</c:v>
                </c:pt>
              </c:numCache>
            </c:numRef>
          </c:val>
          <c:extLst>
            <c:ext xmlns:c16="http://schemas.microsoft.com/office/drawing/2014/chart" uri="{C3380CC4-5D6E-409C-BE32-E72D297353CC}">
              <c16:uniqueId val="{00000001-9924-A345-A7BF-6A39DEBB812B}"/>
            </c:ext>
          </c:extLst>
        </c:ser>
        <c:dLbls>
          <c:showLegendKey val="0"/>
          <c:showVal val="0"/>
          <c:showCatName val="0"/>
          <c:showSerName val="0"/>
          <c:showPercent val="0"/>
          <c:showBubbleSize val="0"/>
        </c:dLbls>
        <c:gapWidth val="219"/>
        <c:overlap val="-27"/>
        <c:axId val="723584080"/>
        <c:axId val="723767424"/>
      </c:barChart>
      <c:catAx>
        <c:axId val="723584080"/>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723767424"/>
        <c:crosses val="autoZero"/>
        <c:auto val="1"/>
        <c:lblAlgn val="ctr"/>
        <c:lblOffset val="100"/>
        <c:noMultiLvlLbl val="0"/>
      </c:catAx>
      <c:valAx>
        <c:axId val="723767424"/>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a:t>Luminescence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723584080"/>
        <c:crosses val="autoZero"/>
        <c:crossBetween val="between"/>
      </c:valAx>
      <c:spPr>
        <a:noFill/>
        <a:ln>
          <a:noFill/>
        </a:ln>
        <a:effectLst/>
      </c:spPr>
    </c:plotArea>
    <c:legend>
      <c:legendPos val="r"/>
      <c:layout>
        <c:manualLayout>
          <c:xMode val="edge"/>
          <c:yMode val="edge"/>
          <c:x val="0.80810601799775039"/>
          <c:y val="0.16580907287643554"/>
          <c:w val="0.1822672068335208"/>
          <c:h val="0.2929612791417518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extLst/>
  </c:chart>
  <c:spPr>
    <a:solidFill>
      <a:schemeClr val="bg1"/>
    </a:solidFill>
    <a:ln w="12700" cap="flat" cmpd="sng" algn="ctr">
      <a:noFill/>
      <a:round/>
    </a:ln>
    <a:effectLst/>
  </c:spPr>
  <c:txPr>
    <a:bodyPr/>
    <a:lstStyle/>
    <a:p>
      <a:pPr>
        <a:defRPr sz="1200">
          <a:solidFill>
            <a:schemeClr val="tx1"/>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31533780039768"/>
          <c:y val="5.3606368006329022E-2"/>
          <c:w val="0.79521660915981007"/>
          <c:h val="0.80285360163312924"/>
        </c:manualLayout>
      </c:layout>
      <c:barChart>
        <c:barDir val="col"/>
        <c:grouping val="clustered"/>
        <c:varyColors val="0"/>
        <c:ser>
          <c:idx val="0"/>
          <c:order val="0"/>
          <c:spPr>
            <a:solidFill>
              <a:srgbClr val="70AD47">
                <a:lumMod val="60000"/>
                <a:lumOff val="40000"/>
              </a:srgbClr>
            </a:solidFill>
            <a:ln>
              <a:noFill/>
            </a:ln>
            <a:effectLst/>
          </c:spPr>
          <c:invertIfNegative val="0"/>
          <c:errBars>
            <c:errBarType val="both"/>
            <c:errValType val="cust"/>
            <c:noEndCap val="0"/>
            <c:plus>
              <c:numRef>
                <c:f>'[Tramp_data_v2.xlsx]Binding assay'!$B$109:$E$109</c:f>
                <c:numCache>
                  <c:formatCode>General</c:formatCode>
                  <c:ptCount val="4"/>
                  <c:pt idx="0">
                    <c:v>0.83575570058047077</c:v>
                  </c:pt>
                  <c:pt idx="1">
                    <c:v>1.4154539007173395</c:v>
                  </c:pt>
                  <c:pt idx="2">
                    <c:v>2.8459443448376112</c:v>
                  </c:pt>
                  <c:pt idx="3">
                    <c:v>0.59644273928707847</c:v>
                  </c:pt>
                </c:numCache>
              </c:numRef>
            </c:plus>
            <c:minus>
              <c:numRef>
                <c:f>'[Tramp_data_v2.xlsx]Binding assay'!$B$109:$E$109</c:f>
                <c:numCache>
                  <c:formatCode>General</c:formatCode>
                  <c:ptCount val="4"/>
                  <c:pt idx="0">
                    <c:v>0.83575570058047077</c:v>
                  </c:pt>
                  <c:pt idx="1">
                    <c:v>1.4154539007173395</c:v>
                  </c:pt>
                  <c:pt idx="2">
                    <c:v>2.8459443448376112</c:v>
                  </c:pt>
                  <c:pt idx="3">
                    <c:v>0.59644273928707847</c:v>
                  </c:pt>
                </c:numCache>
              </c:numRef>
            </c:minus>
            <c:spPr>
              <a:noFill/>
              <a:ln w="9525" cap="flat" cmpd="sng" algn="ctr">
                <a:solidFill>
                  <a:schemeClr val="tx1">
                    <a:lumMod val="65000"/>
                    <a:lumOff val="35000"/>
                  </a:schemeClr>
                </a:solidFill>
                <a:round/>
              </a:ln>
              <a:effectLst/>
            </c:spPr>
          </c:errBars>
          <c:cat>
            <c:strRef>
              <c:f>'[Tramp_data_v2.xlsx]Binding assay'!$B$94:$E$94</c:f>
              <c:strCache>
                <c:ptCount val="4"/>
                <c:pt idx="0">
                  <c:v>as-1</c:v>
                </c:pt>
                <c:pt idx="1">
                  <c:v>as-1-like</c:v>
                </c:pt>
                <c:pt idx="2">
                  <c:v>as-1-c</c:v>
                </c:pt>
                <c:pt idx="3">
                  <c:v>Random sequence</c:v>
                </c:pt>
              </c:strCache>
            </c:strRef>
          </c:cat>
          <c:val>
            <c:numRef>
              <c:f>'[Tramp_data_v2.xlsx]Binding assay'!$B$108:$E$108</c:f>
              <c:numCache>
                <c:formatCode>General</c:formatCode>
                <c:ptCount val="4"/>
                <c:pt idx="0">
                  <c:v>4.9452402561767688</c:v>
                </c:pt>
                <c:pt idx="1">
                  <c:v>4.5975207086557512</c:v>
                </c:pt>
                <c:pt idx="2">
                  <c:v>11.93610935403391</c:v>
                </c:pt>
                <c:pt idx="3">
                  <c:v>1.4719471271874378</c:v>
                </c:pt>
              </c:numCache>
            </c:numRef>
          </c:val>
          <c:extLst>
            <c:ext xmlns:c16="http://schemas.microsoft.com/office/drawing/2014/chart" uri="{C3380CC4-5D6E-409C-BE32-E72D297353CC}">
              <c16:uniqueId val="{00000000-348C-3440-860E-45EA34FB2536}"/>
            </c:ext>
          </c:extLst>
        </c:ser>
        <c:dLbls>
          <c:showLegendKey val="0"/>
          <c:showVal val="0"/>
          <c:showCatName val="0"/>
          <c:showSerName val="0"/>
          <c:showPercent val="0"/>
          <c:showBubbleSize val="0"/>
        </c:dLbls>
        <c:gapWidth val="219"/>
        <c:overlap val="-27"/>
        <c:axId val="723584080"/>
        <c:axId val="723767424"/>
      </c:barChart>
      <c:catAx>
        <c:axId val="723584080"/>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23767424"/>
        <c:crosses val="autoZero"/>
        <c:auto val="1"/>
        <c:lblAlgn val="ctr"/>
        <c:lblOffset val="100"/>
        <c:noMultiLvlLbl val="0"/>
      </c:catAx>
      <c:valAx>
        <c:axId val="72376742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Binding preferences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0.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23584080"/>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900">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18</TotalTime>
  <Pages>5</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Matthewman (JIC)</dc:creator>
  <cp:keywords/>
  <dc:description/>
  <cp:lastModifiedBy>Yaomin Cai (EI)</cp:lastModifiedBy>
  <cp:revision>8</cp:revision>
  <dcterms:created xsi:type="dcterms:W3CDTF">2019-03-26T15:47:00Z</dcterms:created>
  <dcterms:modified xsi:type="dcterms:W3CDTF">2019-03-29T12:12:00Z</dcterms:modified>
</cp:coreProperties>
</file>